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25D" w:rsidRPr="00C169F0" w:rsidRDefault="0058625D" w:rsidP="00DF5DB7">
      <w:pPr>
        <w:pStyle w:val="BodyText"/>
        <w:spacing w:after="80" w:line="276" w:lineRule="auto"/>
        <w:jc w:val="both"/>
        <w:rPr>
          <w:rFonts w:ascii="Arial" w:hAnsi="Arial" w:cs="Arial"/>
          <w:b/>
          <w:lang w:val="it-IT"/>
        </w:rPr>
      </w:pPr>
      <w:r w:rsidRPr="00C169F0">
        <w:rPr>
          <w:rFonts w:ascii="Arial" w:hAnsi="Arial" w:cs="Arial"/>
          <w:b/>
          <w:lang w:val="it-IT"/>
        </w:rPr>
        <w:t>Nr. _________/_________</w:t>
      </w:r>
    </w:p>
    <w:p w:rsidR="0058625D" w:rsidRPr="00C169F0" w:rsidRDefault="0058625D" w:rsidP="00DF5DB7">
      <w:pPr>
        <w:pStyle w:val="BodyText"/>
        <w:spacing w:after="80" w:line="276" w:lineRule="auto"/>
        <w:jc w:val="both"/>
        <w:rPr>
          <w:rFonts w:ascii="Arial" w:hAnsi="Arial" w:cs="Arial"/>
          <w:b/>
          <w:lang w:val="it-IT"/>
        </w:rPr>
      </w:pPr>
    </w:p>
    <w:p w:rsidR="0058625D" w:rsidRPr="00C169F0" w:rsidRDefault="0058625D" w:rsidP="00C169F0">
      <w:pPr>
        <w:rPr>
          <w:rFonts w:ascii="Arial" w:hAnsi="Arial" w:cs="Arial"/>
          <w:b/>
          <w:sz w:val="20"/>
          <w:szCs w:val="20"/>
          <w:lang w:val="it-CH"/>
        </w:rPr>
      </w:pPr>
      <w:r w:rsidRPr="00C169F0">
        <w:rPr>
          <w:rFonts w:ascii="Arial" w:hAnsi="Arial" w:cs="Arial"/>
          <w:b/>
          <w:sz w:val="20"/>
          <w:szCs w:val="20"/>
          <w:lang w:val="it-CH"/>
        </w:rPr>
        <w:t>Vizat</w:t>
      </w:r>
    </w:p>
    <w:p w:rsidR="0058625D" w:rsidRPr="00C169F0" w:rsidRDefault="0058625D" w:rsidP="00C169F0">
      <w:pPr>
        <w:rPr>
          <w:rFonts w:ascii="Arial" w:hAnsi="Arial" w:cs="Arial"/>
          <w:b/>
          <w:sz w:val="20"/>
          <w:szCs w:val="20"/>
          <w:lang w:val="it-CH"/>
        </w:rPr>
      </w:pPr>
      <w:r w:rsidRPr="00C169F0">
        <w:rPr>
          <w:rFonts w:ascii="Arial" w:hAnsi="Arial" w:cs="Arial"/>
          <w:b/>
          <w:sz w:val="20"/>
          <w:szCs w:val="20"/>
          <w:lang w:val="it-CH"/>
        </w:rPr>
        <w:t>Viceprimar</w:t>
      </w:r>
    </w:p>
    <w:p w:rsidR="0058625D" w:rsidRPr="00C169F0" w:rsidRDefault="0058625D" w:rsidP="00C169F0">
      <w:pPr>
        <w:rPr>
          <w:rFonts w:ascii="Arial" w:hAnsi="Arial" w:cs="Arial"/>
          <w:sz w:val="20"/>
          <w:szCs w:val="20"/>
          <w:lang w:val="it-CH"/>
        </w:rPr>
      </w:pPr>
      <w:r w:rsidRPr="00C169F0">
        <w:rPr>
          <w:rFonts w:ascii="Arial" w:hAnsi="Arial" w:cs="Arial"/>
          <w:b/>
          <w:sz w:val="20"/>
          <w:szCs w:val="20"/>
          <w:lang w:val="it-CH"/>
        </w:rPr>
        <w:t>Vida Noemi Erika</w:t>
      </w:r>
    </w:p>
    <w:p w:rsidR="0058625D" w:rsidRPr="00C169F0" w:rsidRDefault="0058625D" w:rsidP="00C169F0">
      <w:pPr>
        <w:rPr>
          <w:rFonts w:ascii="Arial" w:hAnsi="Arial" w:cs="Arial"/>
          <w:b/>
          <w:sz w:val="20"/>
          <w:szCs w:val="20"/>
          <w:lang w:val="it-CH"/>
        </w:rPr>
      </w:pPr>
    </w:p>
    <w:p w:rsidR="0058625D" w:rsidRPr="00C169F0" w:rsidRDefault="0058625D" w:rsidP="00DF5DB7">
      <w:pPr>
        <w:pStyle w:val="BodyText"/>
        <w:spacing w:after="80" w:line="276" w:lineRule="auto"/>
        <w:jc w:val="both"/>
        <w:rPr>
          <w:rFonts w:ascii="Arial" w:hAnsi="Arial" w:cs="Arial"/>
          <w:b/>
          <w:lang w:val="it-IT"/>
        </w:rPr>
      </w:pPr>
    </w:p>
    <w:p w:rsidR="0058625D" w:rsidRDefault="0058625D" w:rsidP="00DF5DB7">
      <w:pPr>
        <w:pStyle w:val="BodyText"/>
        <w:spacing w:after="80" w:line="276" w:lineRule="auto"/>
        <w:jc w:val="both"/>
        <w:rPr>
          <w:rFonts w:ascii="Arial" w:hAnsi="Arial" w:cs="Arial"/>
          <w:b/>
          <w:lang w:val="it-IT"/>
        </w:rPr>
      </w:pPr>
    </w:p>
    <w:p w:rsidR="0058625D" w:rsidRDefault="0058625D" w:rsidP="00DF5DB7">
      <w:pPr>
        <w:pStyle w:val="BodyText"/>
        <w:spacing w:after="80" w:line="276" w:lineRule="auto"/>
        <w:jc w:val="both"/>
        <w:rPr>
          <w:rFonts w:ascii="Arial" w:hAnsi="Arial" w:cs="Arial"/>
          <w:b/>
          <w:lang w:val="it-IT"/>
        </w:rPr>
      </w:pPr>
    </w:p>
    <w:p w:rsidR="0058625D" w:rsidRDefault="0058625D" w:rsidP="00DF5DB7">
      <w:pPr>
        <w:pStyle w:val="BodyText"/>
        <w:spacing w:after="80" w:line="276" w:lineRule="auto"/>
        <w:jc w:val="both"/>
        <w:rPr>
          <w:rFonts w:ascii="Arial" w:hAnsi="Arial" w:cs="Arial"/>
          <w:b/>
          <w:lang w:val="it-IT"/>
        </w:rPr>
      </w:pPr>
    </w:p>
    <w:p w:rsidR="0058625D" w:rsidRPr="00C169F0" w:rsidRDefault="0058625D" w:rsidP="00DF5DB7">
      <w:pPr>
        <w:pStyle w:val="BodyText"/>
        <w:spacing w:after="80" w:line="276" w:lineRule="auto"/>
        <w:jc w:val="both"/>
        <w:rPr>
          <w:rFonts w:ascii="Arial" w:hAnsi="Arial" w:cs="Arial"/>
          <w:b/>
          <w:lang w:val="it-IT"/>
        </w:rPr>
      </w:pPr>
      <w:r w:rsidRPr="00C169F0">
        <w:rPr>
          <w:rFonts w:ascii="Arial" w:hAnsi="Arial" w:cs="Arial"/>
          <w:b/>
          <w:lang w:val="it-IT"/>
        </w:rPr>
        <w:t>RAPORT DE SPECIALITATE</w:t>
      </w:r>
    </w:p>
    <w:p w:rsidR="0058625D" w:rsidRPr="00C169F0" w:rsidRDefault="0058625D" w:rsidP="00DF5DB7">
      <w:pPr>
        <w:spacing w:line="276" w:lineRule="auto"/>
        <w:rPr>
          <w:rFonts w:ascii="Arial" w:hAnsi="Arial" w:cs="Arial"/>
          <w:sz w:val="20"/>
          <w:szCs w:val="20"/>
        </w:rPr>
      </w:pPr>
      <w:r w:rsidRPr="00C169F0">
        <w:rPr>
          <w:rFonts w:ascii="Arial" w:hAnsi="Arial" w:cs="Arial"/>
          <w:bCs/>
          <w:sz w:val="20"/>
          <w:szCs w:val="20"/>
        </w:rPr>
        <w:t>Pentru susţinerea proiectului de hotărâre privind acordarea prin derogare  de la HCL nr. 517/2015,</w:t>
      </w:r>
      <w:r w:rsidRPr="00C169F0">
        <w:rPr>
          <w:rFonts w:ascii="Arial" w:hAnsi="Arial" w:cs="Arial"/>
          <w:b/>
          <w:bCs/>
          <w:sz w:val="20"/>
          <w:szCs w:val="20"/>
          <w:lang w:val="ro-RO"/>
        </w:rPr>
        <w:t xml:space="preserve"> a </w:t>
      </w:r>
      <w:r w:rsidRPr="00C169F0">
        <w:rPr>
          <w:rFonts w:ascii="Arial" w:hAnsi="Arial" w:cs="Arial"/>
          <w:bCs/>
          <w:sz w:val="20"/>
          <w:szCs w:val="20"/>
        </w:rPr>
        <w:t xml:space="preserve">unui ajutor exceptional de urgenţă, domnului Florescu Dan Claudiu  </w:t>
      </w:r>
    </w:p>
    <w:p w:rsidR="0058625D" w:rsidRPr="00C169F0" w:rsidRDefault="0058625D" w:rsidP="00DF5DB7">
      <w:pPr>
        <w:spacing w:before="120" w:after="120" w:line="276" w:lineRule="auto"/>
        <w:jc w:val="both"/>
        <w:textAlignment w:val="top"/>
        <w:rPr>
          <w:rFonts w:ascii="Arial" w:hAnsi="Arial" w:cs="Arial"/>
          <w:sz w:val="20"/>
          <w:szCs w:val="20"/>
          <w:lang w:val="ro-RO"/>
        </w:rPr>
      </w:pPr>
    </w:p>
    <w:p w:rsidR="0058625D" w:rsidRPr="00C169F0" w:rsidRDefault="0058625D" w:rsidP="00DF5DB7">
      <w:pPr>
        <w:spacing w:line="276" w:lineRule="auto"/>
        <w:rPr>
          <w:rFonts w:ascii="Arial" w:hAnsi="Arial" w:cs="Arial"/>
          <w:sz w:val="20"/>
          <w:szCs w:val="20"/>
        </w:rPr>
      </w:pPr>
      <w:r w:rsidRPr="00C169F0">
        <w:rPr>
          <w:rFonts w:ascii="Arial" w:hAnsi="Arial" w:cs="Arial"/>
          <w:sz w:val="20"/>
          <w:szCs w:val="20"/>
          <w:lang w:val="ro-RO"/>
        </w:rPr>
        <w:t xml:space="preserve">Prin HCL 517/2015 privind </w:t>
      </w:r>
      <w:r w:rsidRPr="00C169F0">
        <w:rPr>
          <w:rFonts w:ascii="Arial" w:hAnsi="Arial" w:cs="Arial"/>
          <w:bCs/>
          <w:sz w:val="20"/>
          <w:szCs w:val="20"/>
        </w:rPr>
        <w:t>reglementarea acordării ajutoarelor de înmormântare, ajutoarelor de urgenţă și a altor beneficii sociale, la Anexa 1 cap II punctul 3 sunt prevăzute următoarele:</w:t>
      </w:r>
    </w:p>
    <w:p w:rsidR="0058625D" w:rsidRPr="00C169F0" w:rsidRDefault="0058625D" w:rsidP="00DF5DB7">
      <w:pPr>
        <w:spacing w:before="120" w:after="120" w:line="276" w:lineRule="auto"/>
        <w:jc w:val="both"/>
        <w:textAlignment w:val="top"/>
        <w:rPr>
          <w:rFonts w:ascii="Arial" w:hAnsi="Arial" w:cs="Arial"/>
          <w:sz w:val="20"/>
          <w:szCs w:val="20"/>
        </w:rPr>
      </w:pPr>
      <w:r w:rsidRPr="00C169F0">
        <w:rPr>
          <w:rFonts w:ascii="Arial" w:hAnsi="Arial" w:cs="Arial"/>
          <w:bCs/>
          <w:sz w:val="20"/>
          <w:szCs w:val="20"/>
        </w:rPr>
        <w:t>“</w:t>
      </w:r>
      <w:r w:rsidRPr="00C169F0">
        <w:rPr>
          <w:rFonts w:ascii="Arial" w:hAnsi="Arial" w:cs="Arial"/>
          <w:b/>
          <w:bCs/>
          <w:i/>
          <w:sz w:val="20"/>
          <w:szCs w:val="20"/>
        </w:rPr>
        <w:t>Ajutoare in bani</w:t>
      </w:r>
      <w:r w:rsidRPr="00C169F0">
        <w:rPr>
          <w:rFonts w:ascii="Arial" w:hAnsi="Arial" w:cs="Arial"/>
          <w:bCs/>
          <w:i/>
          <w:sz w:val="20"/>
          <w:szCs w:val="20"/>
        </w:rPr>
        <w:t xml:space="preserve"> in cazul persoanelor adulte caror venit se situeaza se </w:t>
      </w:r>
      <w:r w:rsidRPr="00C169F0">
        <w:rPr>
          <w:rFonts w:ascii="Arial" w:hAnsi="Arial" w:cs="Arial"/>
          <w:b/>
          <w:bCs/>
          <w:i/>
          <w:sz w:val="20"/>
          <w:szCs w:val="20"/>
        </w:rPr>
        <w:t>situeaza  sub nivelul indicatorului social de referinta /membru de familie/ persoana singura</w:t>
      </w:r>
      <w:r w:rsidRPr="00C169F0">
        <w:rPr>
          <w:rFonts w:ascii="Arial" w:hAnsi="Arial" w:cs="Arial"/>
          <w:bCs/>
          <w:i/>
          <w:sz w:val="20"/>
          <w:szCs w:val="20"/>
        </w:rPr>
        <w:t xml:space="preserve">, </w:t>
      </w:r>
      <w:r w:rsidRPr="00C169F0">
        <w:rPr>
          <w:rFonts w:ascii="Arial" w:hAnsi="Arial" w:cs="Arial"/>
          <w:b/>
          <w:bCs/>
          <w:i/>
          <w:sz w:val="20"/>
          <w:szCs w:val="20"/>
        </w:rPr>
        <w:t xml:space="preserve"> ,</w:t>
      </w:r>
      <w:r w:rsidRPr="00C169F0">
        <w:rPr>
          <w:rFonts w:ascii="Arial" w:hAnsi="Arial" w:cs="Arial"/>
          <w:bCs/>
          <w:i/>
          <w:sz w:val="20"/>
          <w:szCs w:val="20"/>
        </w:rPr>
        <w:t xml:space="preserve">care suferă de </w:t>
      </w:r>
      <w:r w:rsidRPr="00C169F0">
        <w:rPr>
          <w:rFonts w:ascii="Arial" w:hAnsi="Arial" w:cs="Arial"/>
          <w:b/>
          <w:bCs/>
          <w:i/>
          <w:sz w:val="20"/>
          <w:szCs w:val="20"/>
        </w:rPr>
        <w:t>boli cronice sau grave</w:t>
      </w:r>
      <w:r w:rsidRPr="00C169F0">
        <w:rPr>
          <w:rFonts w:ascii="Arial" w:hAnsi="Arial" w:cs="Arial"/>
          <w:bCs/>
          <w:i/>
          <w:sz w:val="20"/>
          <w:szCs w:val="20"/>
        </w:rPr>
        <w:t xml:space="preserve"> dovedite cu acte medicale de specialitate ,care necesită investigatii medicale, interventii chirurgicale, tratament medical de specialitate, asigurarea medicamentelor, aparate si /sau dispozitive medicale, până la nivelul sumei de 4000 lei</w:t>
      </w:r>
      <w:r w:rsidRPr="00C169F0">
        <w:rPr>
          <w:rFonts w:ascii="Arial" w:hAnsi="Arial" w:cs="Arial"/>
          <w:sz w:val="20"/>
          <w:szCs w:val="20"/>
        </w:rPr>
        <w:t xml:space="preserve">”. Dat fiind faptul că situaţia domnului </w:t>
      </w:r>
      <w:r w:rsidRPr="00C169F0">
        <w:rPr>
          <w:rFonts w:ascii="Arial" w:hAnsi="Arial" w:cs="Arial"/>
          <w:bCs/>
          <w:sz w:val="20"/>
          <w:szCs w:val="20"/>
        </w:rPr>
        <w:t xml:space="preserve">Florescu Dan Claudiu </w:t>
      </w:r>
      <w:r w:rsidRPr="00C169F0">
        <w:rPr>
          <w:rFonts w:ascii="Arial" w:hAnsi="Arial" w:cs="Arial"/>
          <w:sz w:val="20"/>
          <w:szCs w:val="20"/>
        </w:rPr>
        <w:t xml:space="preserve">este deosebit de gravă, considerăm că se impune o derogare de la prevederile HCL 517/2015 în sensul acordării unei sume mai mari de 4000 lei, respectiv </w:t>
      </w:r>
      <w:r>
        <w:rPr>
          <w:rFonts w:ascii="Arial" w:hAnsi="Arial" w:cs="Arial"/>
          <w:sz w:val="20"/>
          <w:szCs w:val="20"/>
        </w:rPr>
        <w:t>50.000</w:t>
      </w:r>
      <w:r w:rsidRPr="00C169F0">
        <w:rPr>
          <w:rFonts w:ascii="Arial" w:hAnsi="Arial" w:cs="Arial"/>
          <w:sz w:val="20"/>
          <w:szCs w:val="20"/>
        </w:rPr>
        <w:t xml:space="preserve"> lei.</w:t>
      </w:r>
    </w:p>
    <w:p w:rsidR="0058625D" w:rsidRPr="00C169F0" w:rsidRDefault="0058625D" w:rsidP="00DF5DB7">
      <w:pPr>
        <w:spacing w:line="276" w:lineRule="auto"/>
        <w:rPr>
          <w:rFonts w:ascii="Arial" w:hAnsi="Arial" w:cs="Arial"/>
          <w:sz w:val="20"/>
          <w:szCs w:val="20"/>
          <w:lang w:val="it-IT"/>
        </w:rPr>
      </w:pPr>
    </w:p>
    <w:p w:rsidR="0058625D" w:rsidRPr="00C169F0" w:rsidRDefault="0058625D" w:rsidP="00DF5DB7">
      <w:pPr>
        <w:spacing w:line="276" w:lineRule="auto"/>
        <w:rPr>
          <w:rFonts w:ascii="Arial" w:hAnsi="Arial" w:cs="Arial"/>
          <w:sz w:val="20"/>
          <w:szCs w:val="20"/>
        </w:rPr>
      </w:pPr>
      <w:r w:rsidRPr="00C169F0">
        <w:rPr>
          <w:rFonts w:ascii="Arial" w:hAnsi="Arial" w:cs="Arial"/>
          <w:sz w:val="20"/>
          <w:szCs w:val="20"/>
          <w:lang w:val="it-IT"/>
        </w:rPr>
        <w:t>Autorităţile publice locale sunt principalii responsabili care pun în practică politica socială, identifica  toate nevoile sociale ale comunitatii şi gestionează procesul de finanţare a serviciilor sociale.</w:t>
      </w:r>
    </w:p>
    <w:p w:rsidR="0058625D" w:rsidRPr="00C169F0" w:rsidRDefault="0058625D" w:rsidP="00DF5DB7">
      <w:pPr>
        <w:spacing w:line="276" w:lineRule="auto"/>
        <w:rPr>
          <w:rFonts w:ascii="Arial" w:hAnsi="Arial" w:cs="Arial"/>
          <w:sz w:val="20"/>
          <w:szCs w:val="20"/>
        </w:rPr>
      </w:pPr>
      <w:bookmarkStart w:id="0" w:name="_GoBack"/>
      <w:bookmarkEnd w:id="0"/>
    </w:p>
    <w:p w:rsidR="0058625D" w:rsidRPr="00C169F0" w:rsidRDefault="0058625D" w:rsidP="00DF5DB7">
      <w:pPr>
        <w:spacing w:line="276" w:lineRule="auto"/>
        <w:rPr>
          <w:rFonts w:ascii="Arial" w:hAnsi="Arial" w:cs="Arial"/>
          <w:sz w:val="20"/>
          <w:szCs w:val="20"/>
        </w:rPr>
      </w:pPr>
      <w:r w:rsidRPr="00C169F0">
        <w:rPr>
          <w:rFonts w:ascii="Arial" w:hAnsi="Arial" w:cs="Arial"/>
          <w:sz w:val="20"/>
          <w:szCs w:val="20"/>
        </w:rPr>
        <w:t>Potrivit art.36 al 1 si 2 din Legea nr.215/2001 privind administratia publica locala, Consiliul local ca autoritate  deliberativa are initiativa si hotaraste  in conditiile legii ,in toate problemele de interes local, iar in exercitarea atributiilor privind gestionarea serviciilor furnizate cetatenilor, asigura cadru necesar pentru realizarea serviciilor publice de interes local, printre care si cele sociale pentru protecţia persoanelor aflate în nevoie socială.</w:t>
      </w:r>
    </w:p>
    <w:p w:rsidR="0058625D" w:rsidRPr="00C169F0" w:rsidRDefault="0058625D" w:rsidP="00DF5DB7">
      <w:pPr>
        <w:spacing w:line="276" w:lineRule="auto"/>
        <w:rPr>
          <w:rFonts w:ascii="Arial" w:hAnsi="Arial" w:cs="Arial"/>
          <w:sz w:val="20"/>
          <w:szCs w:val="20"/>
        </w:rPr>
      </w:pPr>
      <w:r w:rsidRPr="00C169F0">
        <w:rPr>
          <w:rFonts w:ascii="Arial" w:hAnsi="Arial" w:cs="Arial"/>
          <w:sz w:val="20"/>
          <w:szCs w:val="20"/>
        </w:rPr>
        <w:t>Prin autoritatile administratiei publice centrale si locale, statul isi asuma responsabilitatea pentru realizarea politicilor sociale,  prin masuri si actiuni menite sa contribuie la promovarea, respectarea si garantarea unei  vieti  demne, cetatenilor săi si la facilitarea accesului acestora la beneficiile de asistenta sociala si la serviciile sociale</w:t>
      </w:r>
    </w:p>
    <w:p w:rsidR="0058625D" w:rsidRPr="00C169F0" w:rsidRDefault="0058625D" w:rsidP="00DF5DB7">
      <w:pPr>
        <w:spacing w:line="276" w:lineRule="auto"/>
        <w:rPr>
          <w:rStyle w:val="l5def2"/>
          <w:color w:val="auto"/>
          <w:sz w:val="20"/>
          <w:szCs w:val="20"/>
        </w:rPr>
      </w:pPr>
    </w:p>
    <w:p w:rsidR="0058625D" w:rsidRPr="00C169F0" w:rsidRDefault="0058625D" w:rsidP="00DF5DB7">
      <w:pPr>
        <w:spacing w:line="276" w:lineRule="auto"/>
        <w:rPr>
          <w:rStyle w:val="l5def2"/>
          <w:color w:val="auto"/>
          <w:sz w:val="20"/>
          <w:szCs w:val="20"/>
        </w:rPr>
      </w:pPr>
      <w:r w:rsidRPr="00C169F0">
        <w:rPr>
          <w:rStyle w:val="l5def2"/>
          <w:color w:val="auto"/>
          <w:sz w:val="20"/>
          <w:szCs w:val="20"/>
        </w:rPr>
        <w:t xml:space="preserve">Având în vedere </w:t>
      </w:r>
    </w:p>
    <w:p w:rsidR="0058625D" w:rsidRPr="00C169F0" w:rsidRDefault="0058625D" w:rsidP="00DF5DB7">
      <w:pPr>
        <w:spacing w:line="276" w:lineRule="auto"/>
        <w:rPr>
          <w:rStyle w:val="l5def2"/>
          <w:color w:val="auto"/>
          <w:sz w:val="20"/>
          <w:szCs w:val="20"/>
        </w:rPr>
      </w:pPr>
    </w:p>
    <w:p w:rsidR="0058625D" w:rsidRPr="00C169F0" w:rsidRDefault="0058625D" w:rsidP="00C2484B">
      <w:pPr>
        <w:pStyle w:val="ListParagraph"/>
        <w:numPr>
          <w:ilvl w:val="0"/>
          <w:numId w:val="14"/>
        </w:numPr>
        <w:spacing w:line="276" w:lineRule="auto"/>
        <w:rPr>
          <w:rStyle w:val="l5def2"/>
          <w:color w:val="auto"/>
          <w:sz w:val="20"/>
          <w:szCs w:val="20"/>
        </w:rPr>
      </w:pPr>
      <w:r w:rsidRPr="00C169F0">
        <w:rPr>
          <w:rFonts w:ascii="Arial" w:hAnsi="Arial" w:cs="Arial"/>
          <w:b/>
          <w:bCs/>
          <w:sz w:val="20"/>
          <w:szCs w:val="20"/>
          <w:lang w:val="ro-RO"/>
        </w:rPr>
        <w:t>HCL 517/2015</w:t>
      </w:r>
      <w:r w:rsidRPr="00C169F0">
        <w:rPr>
          <w:rFonts w:ascii="Arial" w:hAnsi="Arial" w:cs="Arial"/>
          <w:bCs/>
          <w:sz w:val="20"/>
          <w:szCs w:val="20"/>
          <w:lang w:val="ro-RO"/>
        </w:rPr>
        <w:t xml:space="preserve"> </w:t>
      </w:r>
      <w:r w:rsidRPr="00C169F0">
        <w:rPr>
          <w:rFonts w:ascii="Arial" w:hAnsi="Arial" w:cs="Arial"/>
          <w:sz w:val="20"/>
          <w:szCs w:val="20"/>
          <w:lang w:val="ro-RO"/>
        </w:rPr>
        <w:t xml:space="preserve">privind </w:t>
      </w:r>
      <w:r w:rsidRPr="00C169F0">
        <w:rPr>
          <w:rFonts w:ascii="Arial" w:hAnsi="Arial" w:cs="Arial"/>
          <w:bCs/>
          <w:sz w:val="20"/>
          <w:szCs w:val="20"/>
        </w:rPr>
        <w:t>reglementarea acordării ajutoarelor de înmormântare, ajutoarelor de urgenţă și a altor beneficii sociale;</w:t>
      </w:r>
    </w:p>
    <w:p w:rsidR="0058625D" w:rsidRPr="00C169F0" w:rsidRDefault="0058625D" w:rsidP="00A32011">
      <w:pPr>
        <w:pStyle w:val="ListParagraph"/>
        <w:numPr>
          <w:ilvl w:val="0"/>
          <w:numId w:val="14"/>
        </w:numPr>
        <w:spacing w:line="276" w:lineRule="auto"/>
        <w:rPr>
          <w:rFonts w:ascii="Arial" w:hAnsi="Arial" w:cs="Arial"/>
          <w:sz w:val="20"/>
          <w:szCs w:val="20"/>
        </w:rPr>
      </w:pPr>
      <w:r w:rsidRPr="00C169F0">
        <w:rPr>
          <w:rFonts w:ascii="Arial" w:hAnsi="Arial" w:cs="Arial"/>
          <w:sz w:val="20"/>
          <w:szCs w:val="20"/>
          <w:lang w:val="ro-RO"/>
        </w:rPr>
        <w:t xml:space="preserve">ancheta sociala întocmită de Serviciul Beneficii de Asistenţa Socială,  din cadru SPAS, prin care se învedereaza împrejurarea că datorită  stării de sănătate grava a petentului, este necesară </w:t>
      </w:r>
      <w:r w:rsidRPr="00C169F0">
        <w:rPr>
          <w:rFonts w:ascii="Arial" w:hAnsi="Arial" w:cs="Arial"/>
          <w:bCs/>
          <w:sz w:val="20"/>
          <w:szCs w:val="20"/>
        </w:rPr>
        <w:t xml:space="preserve">achiziţionarea unei </w:t>
      </w:r>
      <w:r w:rsidRPr="00A32011">
        <w:rPr>
          <w:rFonts w:ascii="Arial" w:hAnsi="Arial" w:cs="Arial"/>
          <w:bCs/>
          <w:sz w:val="20"/>
          <w:szCs w:val="20"/>
        </w:rPr>
        <w:t>proteze de coapsă modular cu silicon</w:t>
      </w:r>
      <w:r w:rsidRPr="00C169F0">
        <w:rPr>
          <w:rFonts w:ascii="Arial" w:hAnsi="Arial" w:cs="Arial"/>
          <w:bCs/>
          <w:sz w:val="20"/>
          <w:szCs w:val="20"/>
        </w:rPr>
        <w:t>,</w:t>
      </w:r>
      <w:r w:rsidRPr="00C169F0">
        <w:rPr>
          <w:rFonts w:ascii="Arial" w:hAnsi="Arial" w:cs="Arial"/>
          <w:sz w:val="20"/>
          <w:szCs w:val="20"/>
          <w:lang w:val="ro-RO"/>
        </w:rPr>
        <w:t xml:space="preserve"> a cărui cost depăşeşte posibilităţile financiare ale familiei;</w:t>
      </w:r>
    </w:p>
    <w:p w:rsidR="0058625D" w:rsidRPr="00C169F0" w:rsidRDefault="0058625D" w:rsidP="00C2484B">
      <w:pPr>
        <w:pStyle w:val="ListParagraph"/>
        <w:numPr>
          <w:ilvl w:val="0"/>
          <w:numId w:val="14"/>
        </w:numPr>
        <w:spacing w:line="276" w:lineRule="auto"/>
        <w:rPr>
          <w:rFonts w:ascii="Arial" w:hAnsi="Arial" w:cs="Arial"/>
          <w:sz w:val="20"/>
          <w:szCs w:val="20"/>
        </w:rPr>
      </w:pPr>
      <w:r w:rsidRPr="00C169F0">
        <w:rPr>
          <w:rFonts w:ascii="Arial" w:hAnsi="Arial" w:cs="Arial"/>
          <w:b/>
          <w:bCs/>
          <w:sz w:val="20"/>
          <w:szCs w:val="20"/>
        </w:rPr>
        <w:t xml:space="preserve">prevederile art. 7 </w:t>
      </w:r>
      <w:r w:rsidRPr="00C169F0">
        <w:rPr>
          <w:rFonts w:ascii="Arial" w:hAnsi="Arial" w:cs="Arial"/>
          <w:b/>
          <w:sz w:val="20"/>
          <w:szCs w:val="20"/>
        </w:rPr>
        <w:t>din Legea 292/2011</w:t>
      </w:r>
      <w:r w:rsidRPr="00C169F0">
        <w:rPr>
          <w:rFonts w:ascii="Arial" w:hAnsi="Arial" w:cs="Arial"/>
          <w:sz w:val="20"/>
          <w:szCs w:val="20"/>
        </w:rPr>
        <w:t xml:space="preserve"> a astenţei sociale,conform cărora “ </w:t>
      </w:r>
      <w:r w:rsidRPr="00C169F0">
        <w:rPr>
          <w:rFonts w:ascii="Arial" w:hAnsi="Arial" w:cs="Arial"/>
          <w:i/>
          <w:sz w:val="20"/>
          <w:szCs w:val="20"/>
        </w:rPr>
        <w:t xml:space="preserve">Beneficiile de asistenţă socială reprezintă o formă de suplimentare sau de substituire a veniturilor individuale/familiale obţinute din muncă, în vederea asigurării unui nivel de trai minimal, precum şi </w:t>
      </w:r>
      <w:r w:rsidRPr="00C169F0">
        <w:rPr>
          <w:rFonts w:ascii="Arial" w:hAnsi="Arial" w:cs="Arial"/>
          <w:b/>
          <w:i/>
          <w:sz w:val="20"/>
          <w:szCs w:val="20"/>
        </w:rPr>
        <w:t>o formă de sprijin în scopul</w:t>
      </w:r>
      <w:r w:rsidRPr="00C169F0">
        <w:rPr>
          <w:rFonts w:ascii="Arial" w:hAnsi="Arial" w:cs="Arial"/>
          <w:i/>
          <w:sz w:val="20"/>
          <w:szCs w:val="20"/>
        </w:rPr>
        <w:t xml:space="preserve"> promovării incluziunii sociale </w:t>
      </w:r>
      <w:r w:rsidRPr="00C169F0">
        <w:rPr>
          <w:rFonts w:ascii="Arial" w:hAnsi="Arial" w:cs="Arial"/>
          <w:b/>
          <w:i/>
          <w:sz w:val="20"/>
          <w:szCs w:val="20"/>
        </w:rPr>
        <w:t>şi creşterii calităţii vieţii</w:t>
      </w:r>
      <w:r w:rsidRPr="00C169F0">
        <w:rPr>
          <w:rFonts w:ascii="Arial" w:hAnsi="Arial" w:cs="Arial"/>
          <w:i/>
          <w:sz w:val="20"/>
          <w:szCs w:val="20"/>
        </w:rPr>
        <w:t xml:space="preserve"> anumitor categorii de persoane ale căror drepturi sociale sunt prevăzute expres de lege</w:t>
      </w:r>
      <w:r w:rsidRPr="00C169F0">
        <w:rPr>
          <w:rFonts w:ascii="Arial" w:hAnsi="Arial" w:cs="Arial"/>
          <w:sz w:val="20"/>
          <w:szCs w:val="20"/>
        </w:rPr>
        <w:t>”</w:t>
      </w:r>
    </w:p>
    <w:p w:rsidR="0058625D" w:rsidRPr="00C169F0" w:rsidRDefault="0058625D" w:rsidP="00C2484B">
      <w:pPr>
        <w:pStyle w:val="ListParagraph"/>
        <w:numPr>
          <w:ilvl w:val="0"/>
          <w:numId w:val="14"/>
        </w:numPr>
        <w:spacing w:line="276" w:lineRule="auto"/>
        <w:rPr>
          <w:rFonts w:ascii="Arial" w:hAnsi="Arial" w:cs="Arial"/>
          <w:sz w:val="20"/>
          <w:szCs w:val="20"/>
        </w:rPr>
      </w:pPr>
      <w:r w:rsidRPr="00C169F0">
        <w:rPr>
          <w:rFonts w:ascii="Arial" w:hAnsi="Arial" w:cs="Arial"/>
          <w:b/>
          <w:bCs/>
          <w:sz w:val="20"/>
          <w:szCs w:val="20"/>
        </w:rPr>
        <w:t>prevederile art. 11</w:t>
      </w:r>
      <w:r w:rsidRPr="00C169F0">
        <w:rPr>
          <w:rFonts w:ascii="Arial" w:hAnsi="Arial" w:cs="Arial"/>
          <w:sz w:val="20"/>
          <w:szCs w:val="20"/>
        </w:rPr>
        <w:t xml:space="preserve"> </w:t>
      </w:r>
      <w:r w:rsidRPr="00C169F0">
        <w:rPr>
          <w:rFonts w:ascii="Arial" w:hAnsi="Arial" w:cs="Arial"/>
          <w:b/>
          <w:sz w:val="20"/>
          <w:szCs w:val="20"/>
        </w:rPr>
        <w:t>alin (1) lit b) din Legea 292/2011</w:t>
      </w:r>
      <w:r w:rsidRPr="00C169F0">
        <w:rPr>
          <w:rFonts w:ascii="Arial" w:hAnsi="Arial" w:cs="Arial"/>
          <w:sz w:val="20"/>
          <w:szCs w:val="20"/>
        </w:rPr>
        <w:t xml:space="preserve"> a astenţei sociale, conform cărora  “</w:t>
      </w:r>
      <w:r w:rsidRPr="00C169F0">
        <w:rPr>
          <w:rFonts w:ascii="Arial" w:hAnsi="Arial" w:cs="Arial"/>
          <w:i/>
          <w:sz w:val="20"/>
          <w:szCs w:val="20"/>
        </w:rPr>
        <w:t>Beneficiile de asistenţă socială pentru prevenirea şi combaterea sărăciei şi riscului de excluziune socială se acordă pe perioade determinate de timp sau pentru situaţii punctuale şi pot cuprinde (…) b) ajutoarele sociale comunitare susţinute din bugetele locale, acordate focalizat, ca măsuri individuale de suport pentru depăşirea unor situaţii de dificultate temporară”; </w:t>
      </w:r>
    </w:p>
    <w:p w:rsidR="0058625D" w:rsidRPr="00C169F0" w:rsidRDefault="0058625D" w:rsidP="00C2484B">
      <w:pPr>
        <w:pStyle w:val="ListParagraph"/>
        <w:numPr>
          <w:ilvl w:val="0"/>
          <w:numId w:val="14"/>
        </w:numPr>
        <w:spacing w:line="276" w:lineRule="auto"/>
        <w:rPr>
          <w:rFonts w:ascii="Arial" w:hAnsi="Arial" w:cs="Arial"/>
          <w:sz w:val="20"/>
          <w:szCs w:val="20"/>
        </w:rPr>
      </w:pPr>
      <w:r w:rsidRPr="00C169F0">
        <w:rPr>
          <w:rFonts w:ascii="Arial" w:hAnsi="Arial" w:cs="Arial"/>
          <w:b/>
          <w:bCs/>
          <w:sz w:val="20"/>
          <w:szCs w:val="20"/>
        </w:rPr>
        <w:t>prevederile art. 15 alin (3) din Legea 292/2011</w:t>
      </w:r>
      <w:r w:rsidRPr="00C169F0">
        <w:rPr>
          <w:rFonts w:ascii="Arial" w:hAnsi="Arial" w:cs="Arial"/>
          <w:sz w:val="20"/>
          <w:szCs w:val="20"/>
        </w:rPr>
        <w:t xml:space="preserve"> conform cărora “</w:t>
      </w:r>
      <w:r w:rsidRPr="00C169F0">
        <w:rPr>
          <w:rFonts w:ascii="Arial" w:hAnsi="Arial" w:cs="Arial"/>
          <w:i/>
          <w:sz w:val="20"/>
          <w:szCs w:val="20"/>
        </w:rPr>
        <w:t>Beneficiile de asistenţă socială acordate de autorităţile administraţiei publice locale se stabilesc în bani sau în natură şi sunt măsuri complementare celor prevăzute la alin. (2), susţinute din bugetel e locale</w:t>
      </w:r>
      <w:r w:rsidRPr="00C169F0">
        <w:rPr>
          <w:rFonts w:ascii="Arial" w:hAnsi="Arial" w:cs="Arial"/>
          <w:sz w:val="20"/>
          <w:szCs w:val="20"/>
        </w:rPr>
        <w:t>”;</w:t>
      </w:r>
    </w:p>
    <w:p w:rsidR="0058625D" w:rsidRPr="00C169F0" w:rsidRDefault="0058625D" w:rsidP="00C2484B">
      <w:pPr>
        <w:pStyle w:val="ListParagraph"/>
        <w:numPr>
          <w:ilvl w:val="0"/>
          <w:numId w:val="14"/>
        </w:numPr>
        <w:spacing w:line="276" w:lineRule="auto"/>
        <w:rPr>
          <w:rFonts w:ascii="Arial" w:hAnsi="Arial" w:cs="Arial"/>
          <w:sz w:val="20"/>
          <w:szCs w:val="20"/>
        </w:rPr>
      </w:pPr>
      <w:r w:rsidRPr="00C169F0">
        <w:rPr>
          <w:rFonts w:ascii="Arial" w:hAnsi="Arial" w:cs="Arial"/>
          <w:b/>
          <w:bCs/>
          <w:sz w:val="20"/>
          <w:szCs w:val="20"/>
        </w:rPr>
        <w:t>prevederile art. 79 alin (2)</w:t>
      </w:r>
      <w:r w:rsidRPr="00C169F0">
        <w:rPr>
          <w:rFonts w:ascii="Arial" w:hAnsi="Arial" w:cs="Arial"/>
          <w:sz w:val="20"/>
          <w:szCs w:val="20"/>
        </w:rPr>
        <w:t xml:space="preserve"> </w:t>
      </w:r>
      <w:r w:rsidRPr="00C169F0">
        <w:rPr>
          <w:rFonts w:ascii="Arial" w:hAnsi="Arial" w:cs="Arial"/>
          <w:b/>
          <w:bCs/>
          <w:sz w:val="20"/>
          <w:szCs w:val="20"/>
        </w:rPr>
        <w:t>din Legea 292/2011</w:t>
      </w:r>
      <w:r w:rsidRPr="00C169F0">
        <w:rPr>
          <w:rFonts w:ascii="Arial" w:hAnsi="Arial" w:cs="Arial"/>
          <w:sz w:val="20"/>
          <w:szCs w:val="20"/>
        </w:rPr>
        <w:t xml:space="preserve"> conform cărora “</w:t>
      </w:r>
      <w:r w:rsidRPr="00C169F0">
        <w:rPr>
          <w:rFonts w:ascii="Arial" w:hAnsi="Arial" w:cs="Arial"/>
          <w:i/>
          <w:sz w:val="20"/>
          <w:szCs w:val="20"/>
        </w:rPr>
        <w:t>Statul, prin autorităţile administraţiei publice centrale şi locale, are obligaţia de a asigura măsurile specifice de protecţie şi de asistenţă socială, în conformitate cu nevoile particulare ale persoanelor cu dizabilităţi, precum şi în funcţie de situaţia familială şi socio-economică a acestora</w:t>
      </w:r>
      <w:r w:rsidRPr="00C169F0">
        <w:rPr>
          <w:rFonts w:ascii="Arial" w:hAnsi="Arial" w:cs="Arial"/>
          <w:sz w:val="20"/>
          <w:szCs w:val="20"/>
        </w:rPr>
        <w:t>”</w:t>
      </w:r>
    </w:p>
    <w:p w:rsidR="0058625D" w:rsidRPr="00C169F0" w:rsidRDefault="0058625D" w:rsidP="009C1F55">
      <w:pPr>
        <w:pStyle w:val="ListParagraph"/>
        <w:numPr>
          <w:ilvl w:val="0"/>
          <w:numId w:val="14"/>
        </w:numPr>
        <w:jc w:val="both"/>
        <w:rPr>
          <w:rFonts w:ascii="Arial" w:hAnsi="Arial" w:cs="Arial"/>
          <w:i/>
          <w:color w:val="000000"/>
          <w:sz w:val="20"/>
          <w:szCs w:val="20"/>
          <w:lang w:val="ro-RO" w:eastAsia="ro-RO"/>
        </w:rPr>
      </w:pPr>
      <w:r w:rsidRPr="00C169F0">
        <w:rPr>
          <w:rFonts w:ascii="Arial" w:hAnsi="Arial" w:cs="Arial"/>
          <w:b/>
          <w:bCs/>
          <w:sz w:val="20"/>
          <w:szCs w:val="20"/>
        </w:rPr>
        <w:t xml:space="preserve">prevederile art. 79 alin </w:t>
      </w:r>
      <w:r w:rsidRPr="00C169F0">
        <w:rPr>
          <w:rFonts w:ascii="Arial" w:hAnsi="Arial" w:cs="Arial"/>
          <w:b/>
          <w:bCs/>
          <w:sz w:val="20"/>
          <w:szCs w:val="20"/>
          <w:lang w:val="ro-RO" w:eastAsia="ro-RO"/>
        </w:rPr>
        <w:t>(3)</w:t>
      </w:r>
      <w:r w:rsidRPr="00C169F0">
        <w:rPr>
          <w:rFonts w:ascii="Arial" w:hAnsi="Arial" w:cs="Arial"/>
          <w:b/>
          <w:bCs/>
          <w:sz w:val="20"/>
          <w:szCs w:val="20"/>
        </w:rPr>
        <w:t xml:space="preserve"> din Legea 292/2011</w:t>
      </w:r>
      <w:r w:rsidRPr="00C169F0">
        <w:rPr>
          <w:rFonts w:ascii="Arial" w:hAnsi="Arial" w:cs="Arial"/>
          <w:sz w:val="20"/>
          <w:szCs w:val="20"/>
        </w:rPr>
        <w:t xml:space="preserve"> conform cărora</w:t>
      </w:r>
      <w:r w:rsidRPr="00C169F0">
        <w:rPr>
          <w:rFonts w:ascii="Arial" w:hAnsi="Arial" w:cs="Arial"/>
          <w:color w:val="000000"/>
          <w:sz w:val="20"/>
          <w:szCs w:val="20"/>
          <w:lang w:val="ro-RO" w:eastAsia="ro-RO"/>
        </w:rPr>
        <w:t xml:space="preserve"> </w:t>
      </w:r>
      <w:r w:rsidRPr="00C169F0">
        <w:rPr>
          <w:rFonts w:ascii="Arial" w:hAnsi="Arial" w:cs="Arial"/>
          <w:i/>
          <w:color w:val="000000"/>
          <w:sz w:val="20"/>
          <w:szCs w:val="20"/>
          <w:lang w:val="ro-RO" w:eastAsia="ro-RO"/>
        </w:rPr>
        <w:t xml:space="preserve">„În baza principiului asigurării de oportunităţi egale, autorităţile publice competente au obligaţia să asigure toate măsurile necesare destinate persoanelor cu dizabilităţi în scopul:  </w:t>
      </w:r>
    </w:p>
    <w:p w:rsidR="0058625D" w:rsidRPr="00C169F0" w:rsidRDefault="0058625D" w:rsidP="00175B35">
      <w:pPr>
        <w:pStyle w:val="ListParagraph"/>
        <w:jc w:val="both"/>
        <w:rPr>
          <w:rFonts w:ascii="Arial" w:hAnsi="Arial" w:cs="Arial"/>
          <w:i/>
          <w:color w:val="000000"/>
          <w:sz w:val="20"/>
          <w:szCs w:val="20"/>
          <w:lang w:val="ro-RO" w:eastAsia="ro-RO"/>
        </w:rPr>
      </w:pPr>
      <w:r w:rsidRPr="00C169F0">
        <w:rPr>
          <w:rFonts w:ascii="Arial" w:hAnsi="Arial" w:cs="Arial"/>
          <w:i/>
          <w:color w:val="000000"/>
          <w:sz w:val="20"/>
          <w:szCs w:val="20"/>
          <w:lang w:val="ro-RO" w:eastAsia="ro-RO"/>
        </w:rPr>
        <w:t>  </w:t>
      </w:r>
      <w:r w:rsidRPr="00C169F0">
        <w:rPr>
          <w:rFonts w:ascii="Arial" w:hAnsi="Arial" w:cs="Arial"/>
          <w:b/>
          <w:bCs/>
          <w:i/>
          <w:color w:val="808000"/>
          <w:sz w:val="20"/>
          <w:szCs w:val="20"/>
          <w:lang w:val="ro-RO" w:eastAsia="ro-RO"/>
        </w:rPr>
        <w:t>a)</w:t>
      </w:r>
      <w:r w:rsidRPr="00C169F0">
        <w:rPr>
          <w:rFonts w:ascii="Arial" w:hAnsi="Arial" w:cs="Arial"/>
          <w:i/>
          <w:color w:val="000000"/>
          <w:sz w:val="20"/>
          <w:szCs w:val="20"/>
          <w:lang w:val="ro-RO" w:eastAsia="ro-RO"/>
        </w:rPr>
        <w:t xml:space="preserve"> accesului nemijlocit şi neîngrădit la educaţie, sănătate, ocupare, justiţie, precum şi la toate tipurile de servicii publice de interes general şi servicii sociale;  </w:t>
      </w:r>
    </w:p>
    <w:p w:rsidR="0058625D" w:rsidRPr="00C169F0" w:rsidRDefault="0058625D" w:rsidP="00175B35">
      <w:pPr>
        <w:pStyle w:val="ListParagraph"/>
        <w:jc w:val="both"/>
        <w:rPr>
          <w:rFonts w:ascii="Arial" w:hAnsi="Arial" w:cs="Arial"/>
          <w:color w:val="000000"/>
          <w:sz w:val="20"/>
          <w:szCs w:val="20"/>
          <w:lang w:val="ro-RO" w:eastAsia="ro-RO"/>
        </w:rPr>
      </w:pPr>
      <w:r w:rsidRPr="00C169F0">
        <w:rPr>
          <w:rFonts w:ascii="Arial" w:hAnsi="Arial" w:cs="Arial"/>
          <w:i/>
          <w:color w:val="000000"/>
          <w:sz w:val="20"/>
          <w:szCs w:val="20"/>
          <w:lang w:val="ro-RO" w:eastAsia="ro-RO"/>
        </w:rPr>
        <w:t> </w:t>
      </w:r>
      <w:r w:rsidRPr="00C169F0">
        <w:rPr>
          <w:rFonts w:ascii="Arial" w:hAnsi="Arial" w:cs="Arial"/>
          <w:b/>
          <w:bCs/>
          <w:i/>
          <w:color w:val="808000"/>
          <w:sz w:val="20"/>
          <w:szCs w:val="20"/>
          <w:lang w:val="ro-RO" w:eastAsia="ro-RO"/>
        </w:rPr>
        <w:t>b)</w:t>
      </w:r>
      <w:r w:rsidRPr="00C169F0">
        <w:rPr>
          <w:rFonts w:ascii="Arial" w:hAnsi="Arial" w:cs="Arial"/>
          <w:i/>
          <w:color w:val="000000"/>
          <w:sz w:val="20"/>
          <w:szCs w:val="20"/>
          <w:lang w:val="ro-RO" w:eastAsia="ro-RO"/>
        </w:rPr>
        <w:t xml:space="preserve"> facilitării participării active la viaţa comunităţii din care face parte persoana şi a societăţii în general</w:t>
      </w:r>
      <w:r w:rsidRPr="00C169F0">
        <w:rPr>
          <w:rFonts w:ascii="Arial" w:hAnsi="Arial" w:cs="Arial"/>
          <w:color w:val="000000"/>
          <w:sz w:val="20"/>
          <w:szCs w:val="20"/>
          <w:lang w:val="ro-RO" w:eastAsia="ro-RO"/>
        </w:rPr>
        <w:t xml:space="preserve">”.  </w:t>
      </w:r>
    </w:p>
    <w:p w:rsidR="0058625D" w:rsidRPr="00C169F0" w:rsidRDefault="0058625D" w:rsidP="009C1F55">
      <w:pPr>
        <w:pStyle w:val="ListParagraph"/>
        <w:numPr>
          <w:ilvl w:val="0"/>
          <w:numId w:val="14"/>
        </w:numPr>
        <w:jc w:val="both"/>
        <w:rPr>
          <w:rFonts w:ascii="Arial" w:hAnsi="Arial" w:cs="Arial"/>
          <w:color w:val="000000"/>
          <w:sz w:val="20"/>
          <w:szCs w:val="20"/>
          <w:lang w:val="ro-RO" w:eastAsia="ro-RO"/>
        </w:rPr>
      </w:pPr>
      <w:r w:rsidRPr="00C169F0">
        <w:rPr>
          <w:rFonts w:ascii="Arial" w:hAnsi="Arial" w:cs="Arial"/>
          <w:color w:val="000000"/>
          <w:sz w:val="20"/>
          <w:szCs w:val="20"/>
          <w:lang w:val="ro-RO" w:eastAsia="ro-RO"/>
        </w:rPr>
        <w:t> </w:t>
      </w:r>
      <w:r w:rsidRPr="00C169F0">
        <w:rPr>
          <w:rFonts w:ascii="Arial" w:hAnsi="Arial" w:cs="Arial"/>
          <w:b/>
          <w:bCs/>
          <w:sz w:val="20"/>
          <w:szCs w:val="20"/>
        </w:rPr>
        <w:t xml:space="preserve">prevederile art. 79 alin </w:t>
      </w:r>
      <w:r w:rsidRPr="00C169F0">
        <w:rPr>
          <w:rFonts w:ascii="Arial" w:hAnsi="Arial" w:cs="Arial"/>
          <w:b/>
          <w:bCs/>
          <w:sz w:val="20"/>
          <w:szCs w:val="20"/>
          <w:lang w:val="ro-RO" w:eastAsia="ro-RO"/>
        </w:rPr>
        <w:t>(4)</w:t>
      </w:r>
      <w:r w:rsidRPr="00C169F0">
        <w:rPr>
          <w:rFonts w:ascii="Arial" w:hAnsi="Arial" w:cs="Arial"/>
          <w:b/>
          <w:bCs/>
          <w:sz w:val="20"/>
          <w:szCs w:val="20"/>
        </w:rPr>
        <w:t xml:space="preserve"> din Legea 292/2011</w:t>
      </w:r>
      <w:r w:rsidRPr="00C169F0">
        <w:rPr>
          <w:rFonts w:ascii="Arial" w:hAnsi="Arial" w:cs="Arial"/>
          <w:sz w:val="20"/>
          <w:szCs w:val="20"/>
        </w:rPr>
        <w:t xml:space="preserve"> conform cărora</w:t>
      </w:r>
      <w:r w:rsidRPr="00C169F0">
        <w:rPr>
          <w:rFonts w:ascii="Arial" w:hAnsi="Arial" w:cs="Arial"/>
          <w:color w:val="000000"/>
          <w:sz w:val="20"/>
          <w:szCs w:val="20"/>
          <w:lang w:val="ro-RO" w:eastAsia="ro-RO"/>
        </w:rPr>
        <w:t xml:space="preserve"> „</w:t>
      </w:r>
      <w:r w:rsidRPr="00C169F0">
        <w:rPr>
          <w:rFonts w:ascii="Arial" w:hAnsi="Arial" w:cs="Arial"/>
          <w:i/>
          <w:color w:val="000000"/>
          <w:sz w:val="20"/>
          <w:szCs w:val="20"/>
          <w:lang w:val="ro-RO" w:eastAsia="ro-RO"/>
        </w:rPr>
        <w:t>O componentă prioritară a protecţiei persoanelor cu dizabilităţi priveşte asigurarea şi facilitarea accesului la programe de abilitare/reabilitare, dispozitive medicale destinate recuperării unor deficienţe organice sau funcţionale, precum şi la echipamente tehnice asistive care să faciliteze viaţa de zi cu zi a persoanelor cu dizabilităţi, activităţile lor de studiu şi cele profesionale</w:t>
      </w:r>
      <w:r w:rsidRPr="00C169F0">
        <w:rPr>
          <w:rFonts w:ascii="Arial" w:hAnsi="Arial" w:cs="Arial"/>
          <w:color w:val="000000"/>
          <w:sz w:val="20"/>
          <w:szCs w:val="20"/>
          <w:lang w:val="ro-RO" w:eastAsia="ro-RO"/>
        </w:rPr>
        <w:t>”.</w:t>
      </w:r>
    </w:p>
    <w:p w:rsidR="0058625D" w:rsidRPr="00C169F0" w:rsidRDefault="0058625D" w:rsidP="000A7192">
      <w:pPr>
        <w:pStyle w:val="ListParagraph"/>
        <w:numPr>
          <w:ilvl w:val="0"/>
          <w:numId w:val="14"/>
        </w:numPr>
        <w:jc w:val="both"/>
        <w:rPr>
          <w:rFonts w:ascii="Arial" w:hAnsi="Arial" w:cs="Arial"/>
          <w:sz w:val="20"/>
          <w:szCs w:val="20"/>
          <w:lang w:val="ro-RO" w:eastAsia="ro-RO"/>
        </w:rPr>
      </w:pPr>
      <w:r w:rsidRPr="00C169F0">
        <w:rPr>
          <w:rFonts w:ascii="Arial" w:hAnsi="Arial" w:cs="Arial"/>
          <w:b/>
          <w:bCs/>
          <w:sz w:val="20"/>
          <w:szCs w:val="20"/>
          <w:lang w:val="ro-RO" w:eastAsia="ro-RO"/>
        </w:rPr>
        <w:t>prevederile art. 112 alin (1)</w:t>
      </w:r>
      <w:r w:rsidRPr="00C169F0">
        <w:rPr>
          <w:rFonts w:ascii="Arial" w:hAnsi="Arial" w:cs="Arial"/>
          <w:sz w:val="20"/>
          <w:szCs w:val="20"/>
          <w:lang w:val="ro-RO" w:eastAsia="ro-RO"/>
        </w:rPr>
        <w:t xml:space="preserve"> </w:t>
      </w:r>
      <w:r w:rsidRPr="00C169F0">
        <w:rPr>
          <w:rFonts w:ascii="Arial" w:hAnsi="Arial" w:cs="Arial"/>
          <w:b/>
          <w:sz w:val="20"/>
          <w:szCs w:val="20"/>
          <w:lang w:val="ro-RO" w:eastAsia="ro-RO"/>
        </w:rPr>
        <w:t>din</w:t>
      </w:r>
      <w:r w:rsidRPr="00C169F0">
        <w:rPr>
          <w:rFonts w:ascii="Arial" w:hAnsi="Arial" w:cs="Arial"/>
          <w:sz w:val="20"/>
          <w:szCs w:val="20"/>
          <w:lang w:val="ro-RO" w:eastAsia="ro-RO"/>
        </w:rPr>
        <w:t xml:space="preserve"> </w:t>
      </w:r>
      <w:r w:rsidRPr="00C169F0">
        <w:rPr>
          <w:rFonts w:ascii="Arial" w:hAnsi="Arial" w:cs="Arial"/>
          <w:b/>
          <w:bCs/>
          <w:sz w:val="20"/>
          <w:szCs w:val="20"/>
        </w:rPr>
        <w:t xml:space="preserve">Legea 292/2011 </w:t>
      </w:r>
      <w:r w:rsidRPr="00C169F0">
        <w:rPr>
          <w:rFonts w:ascii="Arial" w:hAnsi="Arial" w:cs="Arial"/>
          <w:bCs/>
          <w:sz w:val="20"/>
          <w:szCs w:val="20"/>
        </w:rPr>
        <w:t>conform cărora</w:t>
      </w:r>
      <w:r w:rsidRPr="00C169F0">
        <w:rPr>
          <w:rFonts w:ascii="Arial" w:hAnsi="Arial" w:cs="Arial"/>
          <w:sz w:val="20"/>
          <w:szCs w:val="20"/>
        </w:rPr>
        <w:t xml:space="preserve"> “</w:t>
      </w:r>
      <w:r w:rsidRPr="00C169F0">
        <w:rPr>
          <w:rFonts w:ascii="Arial" w:hAnsi="Arial" w:cs="Arial"/>
          <w:i/>
          <w:sz w:val="20"/>
          <w:szCs w:val="20"/>
          <w:lang w:val="ro-RO" w:eastAsia="ro-RO"/>
        </w:rPr>
        <w:t xml:space="preserve">Pentru asigurarea aplicării politicilor sociale în domeniul protecţiei copilului, familiei, persoanelor vârstnice, persoanelor cu dizabilităţi, </w:t>
      </w:r>
      <w:r w:rsidRPr="00C169F0">
        <w:rPr>
          <w:rFonts w:ascii="Arial" w:hAnsi="Arial" w:cs="Arial"/>
          <w:b/>
          <w:i/>
          <w:sz w:val="20"/>
          <w:szCs w:val="20"/>
          <w:lang w:val="ro-RO" w:eastAsia="ro-RO"/>
        </w:rPr>
        <w:t>precum şi altor persoane, grupuri sau comunităţi aflate în nevoie socială,</w:t>
      </w:r>
      <w:r w:rsidRPr="00C169F0">
        <w:rPr>
          <w:rFonts w:ascii="Arial" w:hAnsi="Arial" w:cs="Arial"/>
          <w:i/>
          <w:sz w:val="20"/>
          <w:szCs w:val="20"/>
          <w:lang w:val="ro-RO" w:eastAsia="ro-RO"/>
        </w:rPr>
        <w:t xml:space="preserve"> autorităţile administraţiei publice locale au atribuţii privind administrarea</w:t>
      </w:r>
      <w:r w:rsidRPr="00C169F0">
        <w:rPr>
          <w:rFonts w:ascii="Arial" w:hAnsi="Arial" w:cs="Arial"/>
          <w:sz w:val="20"/>
          <w:szCs w:val="20"/>
          <w:lang w:val="ro-RO" w:eastAsia="ro-RO"/>
        </w:rPr>
        <w:t xml:space="preserve"> </w:t>
      </w:r>
      <w:r w:rsidRPr="00C169F0">
        <w:rPr>
          <w:rFonts w:ascii="Arial" w:hAnsi="Arial" w:cs="Arial"/>
          <w:i/>
          <w:sz w:val="20"/>
          <w:szCs w:val="20"/>
          <w:lang w:val="ro-RO" w:eastAsia="ro-RO"/>
        </w:rPr>
        <w:t>şi acordarea beneficiilor de asistenţă socială şi a serviciilor sociale”;</w:t>
      </w:r>
    </w:p>
    <w:p w:rsidR="0058625D" w:rsidRPr="00C169F0" w:rsidRDefault="0058625D" w:rsidP="000A7192">
      <w:pPr>
        <w:pStyle w:val="ListParagraph"/>
        <w:numPr>
          <w:ilvl w:val="0"/>
          <w:numId w:val="14"/>
        </w:numPr>
        <w:jc w:val="both"/>
        <w:rPr>
          <w:rFonts w:ascii="Arial" w:hAnsi="Arial" w:cs="Arial"/>
          <w:sz w:val="20"/>
          <w:szCs w:val="20"/>
          <w:lang w:val="ro-RO" w:eastAsia="ro-RO"/>
        </w:rPr>
      </w:pPr>
      <w:r w:rsidRPr="00C169F0">
        <w:rPr>
          <w:rFonts w:ascii="Arial" w:hAnsi="Arial" w:cs="Arial"/>
          <w:b/>
          <w:sz w:val="20"/>
          <w:szCs w:val="20"/>
          <w:lang w:val="ro-RO" w:eastAsia="ro-RO"/>
        </w:rPr>
        <w:t>prevederile art. 112 alin</w:t>
      </w:r>
      <w:r w:rsidRPr="00C169F0">
        <w:rPr>
          <w:rFonts w:ascii="Arial" w:hAnsi="Arial" w:cs="Arial"/>
          <w:sz w:val="20"/>
          <w:szCs w:val="20"/>
          <w:lang w:val="ro-RO" w:eastAsia="ro-RO"/>
        </w:rPr>
        <w:t> </w:t>
      </w:r>
      <w:r w:rsidRPr="00C169F0">
        <w:rPr>
          <w:rFonts w:ascii="Arial" w:hAnsi="Arial" w:cs="Arial"/>
          <w:b/>
          <w:bCs/>
          <w:sz w:val="20"/>
          <w:szCs w:val="20"/>
          <w:lang w:val="ro-RO" w:eastAsia="ro-RO"/>
        </w:rPr>
        <w:t>(2) lit g)</w:t>
      </w:r>
      <w:r w:rsidRPr="00C169F0">
        <w:rPr>
          <w:rFonts w:ascii="Arial" w:hAnsi="Arial" w:cs="Arial"/>
          <w:sz w:val="20"/>
          <w:szCs w:val="20"/>
          <w:lang w:val="ro-RO" w:eastAsia="ro-RO"/>
        </w:rPr>
        <w:t xml:space="preserve"> </w:t>
      </w:r>
      <w:r w:rsidRPr="00C169F0">
        <w:rPr>
          <w:rFonts w:ascii="Arial" w:hAnsi="Arial" w:cs="Arial"/>
          <w:b/>
          <w:sz w:val="20"/>
          <w:szCs w:val="20"/>
          <w:lang w:val="ro-RO" w:eastAsia="ro-RO"/>
        </w:rPr>
        <w:t>din</w:t>
      </w:r>
      <w:r w:rsidRPr="00C169F0">
        <w:rPr>
          <w:rFonts w:ascii="Arial" w:hAnsi="Arial" w:cs="Arial"/>
          <w:sz w:val="20"/>
          <w:szCs w:val="20"/>
          <w:lang w:val="ro-RO" w:eastAsia="ro-RO"/>
        </w:rPr>
        <w:t xml:space="preserve"> </w:t>
      </w:r>
      <w:r w:rsidRPr="00C169F0">
        <w:rPr>
          <w:rFonts w:ascii="Arial" w:hAnsi="Arial" w:cs="Arial"/>
          <w:b/>
          <w:bCs/>
          <w:sz w:val="20"/>
          <w:szCs w:val="20"/>
        </w:rPr>
        <w:t xml:space="preserve">Legea 292/2011 </w:t>
      </w:r>
      <w:r w:rsidRPr="00C169F0">
        <w:rPr>
          <w:rFonts w:ascii="Arial" w:hAnsi="Arial" w:cs="Arial"/>
          <w:bCs/>
          <w:sz w:val="20"/>
          <w:szCs w:val="20"/>
        </w:rPr>
        <w:t>conform cărora</w:t>
      </w:r>
      <w:r w:rsidRPr="00C169F0">
        <w:rPr>
          <w:rFonts w:ascii="Arial" w:hAnsi="Arial" w:cs="Arial"/>
          <w:sz w:val="20"/>
          <w:szCs w:val="20"/>
        </w:rPr>
        <w:t xml:space="preserve"> “</w:t>
      </w:r>
      <w:r w:rsidRPr="00C169F0">
        <w:rPr>
          <w:rFonts w:ascii="Arial" w:hAnsi="Arial" w:cs="Arial"/>
          <w:i/>
          <w:sz w:val="20"/>
          <w:szCs w:val="20"/>
          <w:lang w:val="ro-RO" w:eastAsia="ro-RO"/>
        </w:rPr>
        <w:t>În domeniul administrării şi acordării beneficiilor de asistenţă socială, autorităţile administraţiei publice locale (...)</w:t>
      </w:r>
      <w:r w:rsidRPr="00C169F0">
        <w:rPr>
          <w:rFonts w:ascii="Arial" w:hAnsi="Arial" w:cs="Arial"/>
          <w:i/>
          <w:sz w:val="20"/>
          <w:szCs w:val="20"/>
        </w:rPr>
        <w:t xml:space="preserve"> efectuează sondaje şi anchete sociale pentru depistarea precoce a cazurilor de risc de excluziune socială sau a altor situaţii de necesitate a membrilor comunităţii şi, în funcţie de situaţiile constatate, propun măsuri adecvate în vederea sprijinirii acestor persoane</w:t>
      </w:r>
      <w:r w:rsidRPr="00C169F0">
        <w:rPr>
          <w:rFonts w:ascii="Arial" w:hAnsi="Arial" w:cs="Arial"/>
          <w:sz w:val="20"/>
          <w:szCs w:val="20"/>
        </w:rPr>
        <w:t>”;</w:t>
      </w:r>
    </w:p>
    <w:p w:rsidR="0058625D" w:rsidRPr="00C169F0" w:rsidRDefault="0058625D" w:rsidP="00DF5DB7">
      <w:pPr>
        <w:spacing w:line="276" w:lineRule="auto"/>
        <w:rPr>
          <w:rStyle w:val="l5def2"/>
          <w:color w:val="auto"/>
          <w:sz w:val="20"/>
          <w:szCs w:val="20"/>
        </w:rPr>
      </w:pPr>
    </w:p>
    <w:p w:rsidR="0058625D" w:rsidRPr="00C169F0" w:rsidRDefault="0058625D" w:rsidP="00DF5DB7">
      <w:pPr>
        <w:spacing w:line="276" w:lineRule="auto"/>
        <w:rPr>
          <w:rFonts w:ascii="Arial" w:hAnsi="Arial" w:cs="Arial"/>
          <w:sz w:val="20"/>
          <w:szCs w:val="20"/>
        </w:rPr>
      </w:pPr>
      <w:r w:rsidRPr="00C169F0">
        <w:rPr>
          <w:rFonts w:ascii="Arial" w:hAnsi="Arial" w:cs="Arial"/>
          <w:sz w:val="20"/>
          <w:szCs w:val="20"/>
        </w:rPr>
        <w:t xml:space="preserve">Având în vedere considerentele de mai sus, </w:t>
      </w:r>
      <w:r>
        <w:rPr>
          <w:rFonts w:ascii="Arial" w:hAnsi="Arial" w:cs="Arial"/>
          <w:sz w:val="20"/>
          <w:szCs w:val="20"/>
        </w:rPr>
        <w:t>propunem spre apro</w:t>
      </w:r>
      <w:r w:rsidRPr="00C169F0">
        <w:rPr>
          <w:rFonts w:ascii="Arial" w:hAnsi="Arial" w:cs="Arial"/>
          <w:sz w:val="20"/>
          <w:szCs w:val="20"/>
        </w:rPr>
        <w:t>b</w:t>
      </w:r>
      <w:r>
        <w:rPr>
          <w:rFonts w:ascii="Arial" w:hAnsi="Arial" w:cs="Arial"/>
          <w:sz w:val="20"/>
          <w:szCs w:val="20"/>
        </w:rPr>
        <w:t>a</w:t>
      </w:r>
      <w:r w:rsidRPr="00C169F0">
        <w:rPr>
          <w:rFonts w:ascii="Arial" w:hAnsi="Arial" w:cs="Arial"/>
          <w:sz w:val="20"/>
          <w:szCs w:val="20"/>
        </w:rPr>
        <w:t>re:</w:t>
      </w:r>
    </w:p>
    <w:p w:rsidR="0058625D" w:rsidRPr="00C169F0" w:rsidRDefault="0058625D" w:rsidP="00DF5DB7">
      <w:pPr>
        <w:spacing w:line="276" w:lineRule="auto"/>
        <w:rPr>
          <w:rFonts w:ascii="Arial" w:hAnsi="Arial" w:cs="Arial"/>
          <w:sz w:val="20"/>
          <w:szCs w:val="20"/>
        </w:rPr>
      </w:pPr>
    </w:p>
    <w:p w:rsidR="0058625D" w:rsidRPr="00ED49EE" w:rsidRDefault="0058625D" w:rsidP="00A32011">
      <w:pPr>
        <w:pStyle w:val="ListParagraph"/>
        <w:numPr>
          <w:ilvl w:val="0"/>
          <w:numId w:val="15"/>
        </w:numPr>
        <w:spacing w:after="80" w:line="276" w:lineRule="auto"/>
        <w:jc w:val="both"/>
        <w:rPr>
          <w:rFonts w:ascii="Arial" w:hAnsi="Arial" w:cs="Arial"/>
          <w:sz w:val="20"/>
          <w:szCs w:val="20"/>
        </w:rPr>
      </w:pPr>
      <w:r w:rsidRPr="00ED49EE">
        <w:rPr>
          <w:rFonts w:ascii="Arial" w:hAnsi="Arial" w:cs="Arial"/>
          <w:sz w:val="20"/>
          <w:szCs w:val="20"/>
        </w:rPr>
        <w:t xml:space="preserve">acordarea unui </w:t>
      </w:r>
      <w:r w:rsidRPr="00ED49EE">
        <w:rPr>
          <w:rFonts w:ascii="Arial" w:hAnsi="Arial" w:cs="Arial"/>
          <w:bCs/>
          <w:sz w:val="20"/>
          <w:szCs w:val="20"/>
        </w:rPr>
        <w:t xml:space="preserve">ajutor excepţional de urgenţă, în </w:t>
      </w:r>
      <w:r w:rsidRPr="00ED49EE">
        <w:rPr>
          <w:rFonts w:ascii="Arial" w:hAnsi="Arial" w:cs="Arial"/>
          <w:sz w:val="20"/>
          <w:szCs w:val="20"/>
          <w:lang w:val="ro-RO"/>
        </w:rPr>
        <w:t xml:space="preserve">sumă de </w:t>
      </w:r>
      <w:r>
        <w:rPr>
          <w:rFonts w:ascii="Arial" w:hAnsi="Arial" w:cs="Arial"/>
          <w:sz w:val="20"/>
          <w:szCs w:val="20"/>
          <w:lang w:val="ro-RO"/>
        </w:rPr>
        <w:t>50.000</w:t>
      </w:r>
      <w:r w:rsidRPr="00ED49EE">
        <w:rPr>
          <w:rFonts w:ascii="Arial" w:hAnsi="Arial" w:cs="Arial"/>
          <w:sz w:val="20"/>
          <w:szCs w:val="20"/>
          <w:lang w:val="ro-RO"/>
        </w:rPr>
        <w:t xml:space="preserve"> lei, </w:t>
      </w:r>
      <w:r w:rsidRPr="00ED49EE">
        <w:rPr>
          <w:rFonts w:ascii="Arial" w:hAnsi="Arial" w:cs="Arial"/>
          <w:bCs/>
          <w:sz w:val="20"/>
          <w:szCs w:val="20"/>
        </w:rPr>
        <w:t>prin derogare  de la Hotărârea Consiliului Local nr. 517/2015, domnului Florescu Dan Claudiu</w:t>
      </w:r>
      <w:r w:rsidRPr="00ED49EE">
        <w:rPr>
          <w:rFonts w:ascii="Arial" w:hAnsi="Arial" w:cs="Arial"/>
          <w:sz w:val="20"/>
          <w:szCs w:val="20"/>
          <w:lang w:val="ro-RO"/>
        </w:rPr>
        <w:t xml:space="preserve">, în vederea acoperirii unei părţi din costul de achiziţionare a unei </w:t>
      </w:r>
      <w:r w:rsidRPr="00A32011">
        <w:rPr>
          <w:rFonts w:ascii="Arial" w:hAnsi="Arial" w:cs="Arial"/>
          <w:sz w:val="20"/>
          <w:szCs w:val="20"/>
          <w:lang w:val="ro-RO"/>
        </w:rPr>
        <w:t>proteze de coapsă modular cu silicon</w:t>
      </w:r>
      <w:r>
        <w:rPr>
          <w:rFonts w:ascii="Arial" w:hAnsi="Arial" w:cs="Arial"/>
          <w:sz w:val="20"/>
          <w:szCs w:val="20"/>
          <w:lang w:val="ro-RO"/>
        </w:rPr>
        <w:t xml:space="preserve"> </w:t>
      </w:r>
      <w:r w:rsidRPr="00ED49EE">
        <w:rPr>
          <w:rFonts w:ascii="Arial" w:hAnsi="Arial" w:cs="Arial"/>
          <w:sz w:val="20"/>
          <w:szCs w:val="20"/>
          <w:lang w:val="ro-RO"/>
        </w:rPr>
        <w:t>.</w:t>
      </w:r>
      <w:r w:rsidRPr="00ED49EE">
        <w:rPr>
          <w:rFonts w:ascii="Arial" w:hAnsi="Arial" w:cs="Arial"/>
          <w:sz w:val="20"/>
          <w:szCs w:val="20"/>
        </w:rPr>
        <w:t>.</w:t>
      </w:r>
    </w:p>
    <w:p w:rsidR="0058625D" w:rsidRPr="00C169F0" w:rsidRDefault="0058625D" w:rsidP="00DF5DB7">
      <w:pPr>
        <w:spacing w:after="80" w:line="276" w:lineRule="auto"/>
        <w:jc w:val="both"/>
        <w:rPr>
          <w:rFonts w:ascii="Arial" w:hAnsi="Arial" w:cs="Arial"/>
          <w:sz w:val="20"/>
          <w:szCs w:val="20"/>
          <w:lang w:val="ro-RO"/>
        </w:rPr>
      </w:pPr>
    </w:p>
    <w:p w:rsidR="0058625D" w:rsidRPr="00C169F0" w:rsidRDefault="0058625D" w:rsidP="00DF5DB7">
      <w:pPr>
        <w:spacing w:after="80" w:line="276" w:lineRule="auto"/>
        <w:jc w:val="both"/>
        <w:rPr>
          <w:rFonts w:ascii="Arial" w:hAnsi="Arial" w:cs="Arial"/>
          <w:sz w:val="20"/>
          <w:szCs w:val="20"/>
          <w:lang w:val="ro-RO"/>
        </w:rPr>
      </w:pPr>
      <w:r w:rsidRPr="00C169F0">
        <w:rPr>
          <w:rFonts w:ascii="Arial" w:hAnsi="Arial" w:cs="Arial"/>
          <w:sz w:val="20"/>
          <w:szCs w:val="20"/>
          <w:lang w:val="ro-RO"/>
        </w:rPr>
        <w:t>Director General Adjunct</w:t>
      </w:r>
    </w:p>
    <w:p w:rsidR="0058625D" w:rsidRPr="00C169F0" w:rsidRDefault="0058625D" w:rsidP="00DF5DB7">
      <w:pPr>
        <w:spacing w:after="80" w:line="276" w:lineRule="auto"/>
        <w:jc w:val="both"/>
        <w:rPr>
          <w:rFonts w:ascii="Arial" w:hAnsi="Arial" w:cs="Arial"/>
          <w:sz w:val="20"/>
          <w:szCs w:val="20"/>
          <w:lang w:val="ro-RO"/>
        </w:rPr>
      </w:pPr>
      <w:r w:rsidRPr="00C169F0">
        <w:rPr>
          <w:rFonts w:ascii="Arial" w:hAnsi="Arial" w:cs="Arial"/>
          <w:sz w:val="20"/>
          <w:szCs w:val="20"/>
          <w:lang w:val="ro-RO"/>
        </w:rPr>
        <w:t xml:space="preserve">Hîrb Elena Diana </w:t>
      </w:r>
      <w:r w:rsidRPr="00C169F0">
        <w:rPr>
          <w:rFonts w:ascii="Arial" w:hAnsi="Arial" w:cs="Arial"/>
          <w:sz w:val="20"/>
          <w:szCs w:val="20"/>
          <w:lang w:val="ro-RO"/>
        </w:rPr>
        <w:tab/>
      </w:r>
      <w:r w:rsidRPr="00C169F0">
        <w:rPr>
          <w:rFonts w:ascii="Arial" w:hAnsi="Arial" w:cs="Arial"/>
          <w:sz w:val="20"/>
          <w:szCs w:val="20"/>
          <w:lang w:val="ro-RO"/>
        </w:rPr>
        <w:tab/>
      </w:r>
      <w:r w:rsidRPr="00C169F0">
        <w:rPr>
          <w:rFonts w:ascii="Arial" w:hAnsi="Arial" w:cs="Arial"/>
          <w:sz w:val="20"/>
          <w:szCs w:val="20"/>
          <w:lang w:val="ro-RO"/>
        </w:rPr>
        <w:tab/>
      </w:r>
      <w:r w:rsidRPr="00C169F0">
        <w:rPr>
          <w:rFonts w:ascii="Arial" w:hAnsi="Arial" w:cs="Arial"/>
          <w:sz w:val="20"/>
          <w:szCs w:val="20"/>
          <w:lang w:val="ro-RO"/>
        </w:rPr>
        <w:tab/>
      </w:r>
      <w:r w:rsidRPr="00C169F0">
        <w:rPr>
          <w:rFonts w:ascii="Arial" w:hAnsi="Arial" w:cs="Arial"/>
          <w:sz w:val="20"/>
          <w:szCs w:val="20"/>
          <w:lang w:val="ro-RO"/>
        </w:rPr>
        <w:tab/>
      </w:r>
      <w:r w:rsidRPr="00C169F0">
        <w:rPr>
          <w:rFonts w:ascii="Arial" w:hAnsi="Arial" w:cs="Arial"/>
          <w:sz w:val="20"/>
          <w:szCs w:val="20"/>
          <w:lang w:val="ro-RO"/>
        </w:rPr>
        <w:tab/>
      </w:r>
      <w:r w:rsidRPr="00C169F0">
        <w:rPr>
          <w:rFonts w:ascii="Arial" w:hAnsi="Arial" w:cs="Arial"/>
          <w:sz w:val="20"/>
          <w:szCs w:val="20"/>
          <w:lang w:val="ro-RO"/>
        </w:rPr>
        <w:tab/>
      </w:r>
      <w:r w:rsidRPr="00C169F0">
        <w:rPr>
          <w:rFonts w:ascii="Arial" w:hAnsi="Arial" w:cs="Arial"/>
          <w:sz w:val="20"/>
          <w:szCs w:val="20"/>
          <w:lang w:val="ro-RO"/>
        </w:rPr>
        <w:tab/>
      </w:r>
    </w:p>
    <w:p w:rsidR="0058625D" w:rsidRPr="00C169F0" w:rsidRDefault="0058625D" w:rsidP="00DF5DB7">
      <w:pPr>
        <w:spacing w:after="80" w:line="276" w:lineRule="auto"/>
        <w:jc w:val="both"/>
        <w:rPr>
          <w:rFonts w:ascii="Arial" w:hAnsi="Arial" w:cs="Arial"/>
          <w:sz w:val="20"/>
          <w:szCs w:val="20"/>
          <w:lang w:val="ro-RO"/>
        </w:rPr>
      </w:pPr>
    </w:p>
    <w:p w:rsidR="0058625D" w:rsidRPr="00C169F0" w:rsidRDefault="0058625D" w:rsidP="00DF5DB7">
      <w:pPr>
        <w:spacing w:after="80" w:line="276" w:lineRule="auto"/>
        <w:jc w:val="both"/>
        <w:rPr>
          <w:rFonts w:ascii="Arial" w:hAnsi="Arial" w:cs="Arial"/>
          <w:sz w:val="20"/>
          <w:szCs w:val="20"/>
          <w:lang w:val="ro-RO"/>
        </w:rPr>
      </w:pPr>
      <w:r w:rsidRPr="00C169F0">
        <w:rPr>
          <w:rFonts w:ascii="Arial" w:hAnsi="Arial" w:cs="Arial"/>
          <w:sz w:val="20"/>
          <w:szCs w:val="20"/>
          <w:lang w:val="ro-RO"/>
        </w:rPr>
        <w:t>Şef Serv. Financiar Contabilitate</w:t>
      </w:r>
    </w:p>
    <w:p w:rsidR="0058625D" w:rsidRPr="00C169F0" w:rsidRDefault="0058625D" w:rsidP="00DF5DB7">
      <w:pPr>
        <w:spacing w:after="80" w:line="276" w:lineRule="auto"/>
        <w:jc w:val="both"/>
        <w:rPr>
          <w:rFonts w:ascii="Arial" w:hAnsi="Arial" w:cs="Arial"/>
          <w:sz w:val="20"/>
          <w:szCs w:val="20"/>
          <w:lang w:val="ro-RO"/>
        </w:rPr>
      </w:pPr>
      <w:r w:rsidRPr="00C169F0">
        <w:rPr>
          <w:rFonts w:ascii="Arial" w:hAnsi="Arial" w:cs="Arial"/>
          <w:sz w:val="20"/>
          <w:szCs w:val="20"/>
          <w:lang w:val="ro-RO"/>
        </w:rPr>
        <w:t>Anania Ancuţa</w:t>
      </w:r>
    </w:p>
    <w:p w:rsidR="0058625D" w:rsidRPr="00C169F0" w:rsidRDefault="0058625D" w:rsidP="00DF5DB7">
      <w:pPr>
        <w:spacing w:after="80" w:line="276" w:lineRule="auto"/>
        <w:jc w:val="both"/>
        <w:rPr>
          <w:rFonts w:ascii="Arial" w:hAnsi="Arial" w:cs="Arial"/>
          <w:sz w:val="20"/>
          <w:szCs w:val="20"/>
          <w:lang w:val="ro-RO"/>
        </w:rPr>
      </w:pPr>
    </w:p>
    <w:p w:rsidR="0058625D" w:rsidRPr="00C169F0" w:rsidRDefault="0058625D" w:rsidP="001A600D">
      <w:pPr>
        <w:spacing w:after="80" w:line="276" w:lineRule="auto"/>
        <w:jc w:val="both"/>
        <w:rPr>
          <w:rFonts w:ascii="Arial" w:hAnsi="Arial" w:cs="Arial"/>
          <w:sz w:val="20"/>
          <w:szCs w:val="20"/>
          <w:lang w:val="ro-RO"/>
        </w:rPr>
      </w:pPr>
      <w:r w:rsidRPr="00C169F0">
        <w:rPr>
          <w:rFonts w:ascii="Arial" w:hAnsi="Arial" w:cs="Arial"/>
          <w:sz w:val="20"/>
          <w:szCs w:val="20"/>
          <w:lang w:val="ro-RO"/>
        </w:rPr>
        <w:t>Întocmit</w:t>
      </w:r>
    </w:p>
    <w:p w:rsidR="0058625D" w:rsidRPr="00C169F0" w:rsidRDefault="0058625D" w:rsidP="001A600D">
      <w:pPr>
        <w:spacing w:after="80" w:line="276" w:lineRule="auto"/>
        <w:jc w:val="both"/>
        <w:rPr>
          <w:rFonts w:ascii="Arial" w:hAnsi="Arial" w:cs="Arial"/>
          <w:sz w:val="20"/>
          <w:szCs w:val="20"/>
          <w:lang w:val="ro-RO"/>
        </w:rPr>
      </w:pPr>
      <w:r w:rsidRPr="00C169F0">
        <w:rPr>
          <w:rFonts w:ascii="Arial" w:hAnsi="Arial" w:cs="Arial"/>
          <w:sz w:val="20"/>
          <w:szCs w:val="20"/>
          <w:lang w:val="ro-RO"/>
        </w:rPr>
        <w:t>Şef Serv. Juridic Resurse Umane</w:t>
      </w:r>
    </w:p>
    <w:p w:rsidR="0058625D" w:rsidRPr="00C169F0" w:rsidRDefault="0058625D" w:rsidP="001A600D">
      <w:pPr>
        <w:spacing w:after="80" w:line="276" w:lineRule="auto"/>
        <w:jc w:val="both"/>
        <w:rPr>
          <w:rFonts w:ascii="Arial" w:hAnsi="Arial" w:cs="Arial"/>
          <w:sz w:val="20"/>
          <w:szCs w:val="20"/>
          <w:lang w:val="ro-RO"/>
        </w:rPr>
      </w:pPr>
      <w:r w:rsidRPr="00C169F0">
        <w:rPr>
          <w:rFonts w:ascii="Arial" w:hAnsi="Arial" w:cs="Arial"/>
          <w:sz w:val="20"/>
          <w:szCs w:val="20"/>
          <w:lang w:val="ro-RO"/>
        </w:rPr>
        <w:t>Oprişan Monica</w:t>
      </w:r>
    </w:p>
    <w:p w:rsidR="0058625D" w:rsidRPr="00C169F0" w:rsidRDefault="0058625D" w:rsidP="00DF5DB7">
      <w:pPr>
        <w:spacing w:after="80" w:line="276" w:lineRule="auto"/>
        <w:jc w:val="both"/>
        <w:rPr>
          <w:rFonts w:ascii="Arial" w:hAnsi="Arial" w:cs="Arial"/>
          <w:sz w:val="20"/>
          <w:szCs w:val="20"/>
          <w:lang w:val="ro-RO"/>
        </w:rPr>
      </w:pPr>
    </w:p>
    <w:sectPr w:rsidR="0058625D" w:rsidRPr="00C169F0" w:rsidSect="0023171B">
      <w:headerReference w:type="default" r:id="rId7"/>
      <w:footerReference w:type="default" r:id="rId8"/>
      <w:pgSz w:w="11907" w:h="16840" w:code="9"/>
      <w:pgMar w:top="2941" w:right="1418" w:bottom="851" w:left="1418" w:header="851" w:footer="75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25D" w:rsidRDefault="0058625D" w:rsidP="00791A9A">
      <w:r>
        <w:separator/>
      </w:r>
    </w:p>
  </w:endnote>
  <w:endnote w:type="continuationSeparator" w:id="0">
    <w:p w:rsidR="0058625D" w:rsidRDefault="0058625D" w:rsidP="0079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500">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25D" w:rsidRDefault="0058625D">
    <w:pPr>
      <w:pStyle w:val="Footer"/>
      <w:rPr>
        <w:rFonts w:ascii="Calibri" w:hAnsi="Calibri"/>
        <w:b/>
        <w:color w:val="808080"/>
        <w:sz w:val="26"/>
        <w:szCs w:val="26"/>
        <w:lang w:val="ro-RO"/>
      </w:rPr>
    </w:pPr>
  </w:p>
  <w:p w:rsidR="0058625D" w:rsidRPr="00085CCE" w:rsidRDefault="0058625D">
    <w:pPr>
      <w:pStyle w:val="Footer"/>
      <w:rPr>
        <w:rFonts w:ascii="Museo Sans 500" w:hAnsi="Museo Sans 500"/>
        <w:color w:val="808080"/>
        <w:sz w:val="26"/>
        <w:szCs w:val="26"/>
        <w:lang w:val="ro-RO"/>
      </w:rPr>
    </w:pPr>
    <w:r w:rsidRPr="00085CCE">
      <w:rPr>
        <w:rFonts w:ascii="Museo Sans 500" w:hAnsi="Museo Sans 500"/>
        <w:b/>
        <w:color w:val="808080"/>
        <w:sz w:val="26"/>
        <w:szCs w:val="26"/>
        <w:lang w:val="ro-RO"/>
      </w:rPr>
      <w:t>ROMÂNIA –</w:t>
    </w:r>
    <w:r w:rsidRPr="00085CCE">
      <w:rPr>
        <w:rFonts w:ascii="Museo Sans 500" w:hAnsi="Museo Sans 500"/>
        <w:color w:val="808080"/>
        <w:sz w:val="26"/>
        <w:szCs w:val="26"/>
        <w:lang w:val="ro-RO"/>
      </w:rPr>
      <w:t xml:space="preserve"> MUNICIPIUL BAIA MARE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25D" w:rsidRDefault="0058625D" w:rsidP="00791A9A">
      <w:r>
        <w:separator/>
      </w:r>
    </w:p>
  </w:footnote>
  <w:footnote w:type="continuationSeparator" w:id="0">
    <w:p w:rsidR="0058625D" w:rsidRDefault="0058625D" w:rsidP="0079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25D" w:rsidRDefault="0058625D" w:rsidP="002C3A9E">
    <w:pPr>
      <w:pStyle w:val="Header"/>
    </w:pPr>
    <w:r>
      <w:rPr>
        <w:noProof/>
      </w:rPr>
      <w:pict>
        <v:group id="_x0000_s2049" style="position:absolute;margin-left:0;margin-top:42.55pt;width:479.05pt;height:139.05pt;z-index:-251656192;mso-position-horizontal:left;mso-position-vertical-relative:page" coordorigin="1418,851" coordsize="9581,27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418;top:851;width:9074;height:2781;mso-position-horizontal-relative:margin;mso-position-vertical-relative:line">
            <v:imagedata r:id="rId1" o:title=""/>
          </v:shape>
          <v:shapetype id="_x0000_t202" coordsize="21600,21600" o:spt="202" path="m,l,21600r21600,l21600,xe">
            <v:stroke joinstyle="miter"/>
            <v:path gradientshapeok="t" o:connecttype="rect"/>
          </v:shapetype>
          <v:shape id="_x0000_s2051" type="#_x0000_t202" style="position:absolute;left:5160;top:1418;width:5839;height:1678;mso-position-horizontal-relative:page;mso-position-vertical-relative:page" filled="f" stroked="f">
            <o:lock v:ext="edit" aspectratio="t"/>
            <v:textbox style="mso-next-textbox:#_x0000_s2051" inset="0,0,0,0">
              <w:txbxContent>
                <w:p w:rsidR="0058625D" w:rsidRDefault="0058625D" w:rsidP="002C3A9E">
                  <w:r>
                    <w:rPr>
                      <w:rFonts w:cs="Arial"/>
                      <w:sz w:val="22"/>
                      <w:szCs w:val="22"/>
                    </w:rPr>
                    <w:t>SERVICIUL PUBLIC ASISTENȚĂ SOCIALĂ</w:t>
                  </w:r>
                </w:p>
                <w:tbl>
                  <w:tblPr>
                    <w:tblOverlap w:val="never"/>
                    <w:tblW w:w="5854" w:type="dxa"/>
                    <w:tblInd w:w="2" w:type="dxa"/>
                    <w:tblLayout w:type="fixed"/>
                    <w:tblCellMar>
                      <w:top w:w="28" w:type="dxa"/>
                      <w:left w:w="0" w:type="dxa"/>
                      <w:right w:w="0" w:type="dxa"/>
                    </w:tblCellMar>
                    <w:tblLook w:val="00A0"/>
                  </w:tblPr>
                  <w:tblGrid>
                    <w:gridCol w:w="2834"/>
                    <w:gridCol w:w="93"/>
                    <w:gridCol w:w="2818"/>
                    <w:gridCol w:w="109"/>
                  </w:tblGrid>
                  <w:tr w:rsidR="0058625D">
                    <w:trPr>
                      <w:gridAfter w:val="1"/>
                      <w:wAfter w:w="109" w:type="dxa"/>
                      <w:cantSplit/>
                      <w:trHeight w:val="397"/>
                    </w:trPr>
                    <w:tc>
                      <w:tcPr>
                        <w:tcW w:w="5745" w:type="dxa"/>
                        <w:gridSpan w:val="3"/>
                        <w:noWrap/>
                      </w:tcPr>
                      <w:p w:rsidR="0058625D" w:rsidRPr="003C4876" w:rsidRDefault="0058625D" w:rsidP="00B15C4B">
                        <w:pPr>
                          <w:spacing w:line="480" w:lineRule="auto"/>
                          <w:suppressOverlap/>
                          <w:rPr>
                            <w:rFonts w:cs="Arial"/>
                            <w:sz w:val="22"/>
                            <w:szCs w:val="22"/>
                          </w:rPr>
                        </w:pPr>
                        <w:r>
                          <w:rPr>
                            <w:rFonts w:cs="Arial"/>
                            <w:sz w:val="22"/>
                            <w:szCs w:val="22"/>
                          </w:rPr>
                          <w:t>SERVICIUL JURIDIC RESURSE UMANE</w:t>
                        </w:r>
                      </w:p>
                    </w:tc>
                  </w:tr>
                  <w:tr w:rsidR="0058625D">
                    <w:trPr>
                      <w:gridAfter w:val="1"/>
                      <w:wAfter w:w="109" w:type="dxa"/>
                      <w:cantSplit/>
                      <w:trHeight w:hRule="exact" w:val="237"/>
                    </w:trPr>
                    <w:tc>
                      <w:tcPr>
                        <w:tcW w:w="2834" w:type="dxa"/>
                        <w:noWrap/>
                      </w:tcPr>
                      <w:p w:rsidR="0058625D" w:rsidRPr="001069D8" w:rsidRDefault="0058625D" w:rsidP="00B15C4B">
                        <w:pPr>
                          <w:spacing w:line="264" w:lineRule="auto"/>
                          <w:suppressOverlap/>
                          <w:rPr>
                            <w:sz w:val="18"/>
                            <w:szCs w:val="18"/>
                          </w:rPr>
                        </w:pPr>
                        <w:r w:rsidRPr="003539AA">
                          <w:rPr>
                            <w:sz w:val="18"/>
                            <w:szCs w:val="18"/>
                          </w:rPr>
                          <w:t xml:space="preserve">Str. </w:t>
                        </w:r>
                        <w:r>
                          <w:rPr>
                            <w:sz w:val="18"/>
                            <w:szCs w:val="18"/>
                          </w:rPr>
                          <w:t>Dacia  1</w:t>
                        </w:r>
                      </w:p>
                    </w:tc>
                    <w:tc>
                      <w:tcPr>
                        <w:tcW w:w="2911" w:type="dxa"/>
                        <w:gridSpan w:val="2"/>
                        <w:noWrap/>
                        <w:tcMar>
                          <w:top w:w="28" w:type="dxa"/>
                          <w:left w:w="113" w:type="dxa"/>
                          <w:bottom w:w="0" w:type="dxa"/>
                          <w:right w:w="0" w:type="dxa"/>
                        </w:tcMar>
                      </w:tcPr>
                      <w:p w:rsidR="0058625D" w:rsidRPr="003539AA" w:rsidRDefault="0058625D" w:rsidP="00B15C4B">
                        <w:pPr>
                          <w:pStyle w:val="NoSpacing"/>
                          <w:spacing w:line="264" w:lineRule="auto"/>
                          <w:suppressOverlap/>
                          <w:rPr>
                            <w:spacing w:val="0"/>
                            <w:kern w:val="0"/>
                            <w:szCs w:val="18"/>
                          </w:rPr>
                        </w:pPr>
                        <w:r w:rsidRPr="003539AA">
                          <w:rPr>
                            <w:spacing w:val="0"/>
                            <w:kern w:val="0"/>
                            <w:szCs w:val="18"/>
                          </w:rPr>
                          <w:t>Fax</w:t>
                        </w:r>
                        <w:r w:rsidRPr="003539AA">
                          <w:rPr>
                            <w:spacing w:val="0"/>
                            <w:kern w:val="0"/>
                            <w:szCs w:val="18"/>
                            <w:lang w:val="en-US"/>
                          </w:rPr>
                          <w:t>: +40 262 21</w:t>
                        </w:r>
                        <w:r>
                          <w:rPr>
                            <w:spacing w:val="0"/>
                            <w:kern w:val="0"/>
                            <w:szCs w:val="18"/>
                            <w:lang w:val="en-US"/>
                          </w:rPr>
                          <w:t>1</w:t>
                        </w:r>
                        <w:r w:rsidRPr="003539AA">
                          <w:rPr>
                            <w:spacing w:val="0"/>
                            <w:kern w:val="0"/>
                            <w:szCs w:val="18"/>
                            <w:lang w:val="en-US"/>
                          </w:rPr>
                          <w:t xml:space="preserve"> </w:t>
                        </w:r>
                        <w:r>
                          <w:rPr>
                            <w:spacing w:val="0"/>
                            <w:kern w:val="0"/>
                            <w:szCs w:val="18"/>
                            <w:lang w:val="en-US"/>
                          </w:rPr>
                          <w:t>959</w:t>
                        </w:r>
                      </w:p>
                    </w:tc>
                  </w:tr>
                  <w:tr w:rsidR="0058625D">
                    <w:trPr>
                      <w:gridAfter w:val="1"/>
                      <w:wAfter w:w="109" w:type="dxa"/>
                      <w:cantSplit/>
                      <w:trHeight w:hRule="exact" w:val="237"/>
                    </w:trPr>
                    <w:tc>
                      <w:tcPr>
                        <w:tcW w:w="2834" w:type="dxa"/>
                        <w:noWrap/>
                      </w:tcPr>
                      <w:p w:rsidR="0058625D" w:rsidRPr="003539AA" w:rsidRDefault="0058625D" w:rsidP="00B15C4B">
                        <w:pPr>
                          <w:spacing w:line="264" w:lineRule="auto"/>
                          <w:suppressOverlap/>
                          <w:rPr>
                            <w:rFonts w:cs="Arial"/>
                            <w:sz w:val="18"/>
                            <w:szCs w:val="18"/>
                          </w:rPr>
                        </w:pPr>
                        <w:r w:rsidRPr="003539AA">
                          <w:rPr>
                            <w:sz w:val="18"/>
                            <w:szCs w:val="18"/>
                          </w:rPr>
                          <w:t>430</w:t>
                        </w:r>
                        <w:r>
                          <w:rPr>
                            <w:sz w:val="18"/>
                            <w:szCs w:val="18"/>
                          </w:rPr>
                          <w:t>406</w:t>
                        </w:r>
                        <w:r w:rsidRPr="003539AA">
                          <w:rPr>
                            <w:sz w:val="18"/>
                            <w:szCs w:val="18"/>
                          </w:rPr>
                          <w:t>, Baia Mare, România</w:t>
                        </w:r>
                      </w:p>
                    </w:tc>
                    <w:tc>
                      <w:tcPr>
                        <w:tcW w:w="2911" w:type="dxa"/>
                        <w:gridSpan w:val="2"/>
                        <w:noWrap/>
                        <w:tcMar>
                          <w:top w:w="28" w:type="dxa"/>
                          <w:left w:w="113" w:type="dxa"/>
                          <w:bottom w:w="0" w:type="dxa"/>
                          <w:right w:w="0" w:type="dxa"/>
                        </w:tcMar>
                      </w:tcPr>
                      <w:p w:rsidR="0058625D" w:rsidRPr="003539AA" w:rsidRDefault="0058625D" w:rsidP="00B15C4B">
                        <w:pPr>
                          <w:spacing w:line="264" w:lineRule="auto"/>
                          <w:ind w:right="-354"/>
                          <w:suppressOverlap/>
                          <w:rPr>
                            <w:rFonts w:cs="Arial"/>
                            <w:sz w:val="18"/>
                            <w:szCs w:val="18"/>
                          </w:rPr>
                        </w:pPr>
                        <w:r>
                          <w:rPr>
                            <w:sz w:val="18"/>
                            <w:szCs w:val="18"/>
                          </w:rPr>
                          <w:t>Email: spas</w:t>
                        </w:r>
                        <w:r w:rsidRPr="003539AA">
                          <w:rPr>
                            <w:sz w:val="18"/>
                            <w:szCs w:val="18"/>
                          </w:rPr>
                          <w:t>@baiamare.ro</w:t>
                        </w:r>
                      </w:p>
                    </w:tc>
                  </w:tr>
                  <w:tr w:rsidR="0058625D">
                    <w:trPr>
                      <w:gridAfter w:val="1"/>
                      <w:wAfter w:w="109" w:type="dxa"/>
                      <w:cantSplit/>
                      <w:trHeight w:hRule="exact" w:val="237"/>
                    </w:trPr>
                    <w:tc>
                      <w:tcPr>
                        <w:tcW w:w="2834" w:type="dxa"/>
                        <w:noWrap/>
                      </w:tcPr>
                      <w:p w:rsidR="0058625D" w:rsidRPr="003539AA" w:rsidRDefault="0058625D" w:rsidP="00B15C4B">
                        <w:pPr>
                          <w:spacing w:line="264" w:lineRule="auto"/>
                          <w:suppressOverlap/>
                          <w:rPr>
                            <w:rFonts w:cs="Arial"/>
                            <w:sz w:val="18"/>
                            <w:szCs w:val="18"/>
                          </w:rPr>
                        </w:pPr>
                        <w:r w:rsidRPr="003539AA">
                          <w:rPr>
                            <w:sz w:val="18"/>
                            <w:szCs w:val="18"/>
                          </w:rPr>
                          <w:t>Telefon: +40 262 21</w:t>
                        </w:r>
                        <w:r>
                          <w:rPr>
                            <w:sz w:val="18"/>
                            <w:szCs w:val="18"/>
                          </w:rPr>
                          <w:t>1</w:t>
                        </w:r>
                        <w:r w:rsidRPr="003539AA">
                          <w:rPr>
                            <w:sz w:val="18"/>
                            <w:szCs w:val="18"/>
                          </w:rPr>
                          <w:t xml:space="preserve"> </w:t>
                        </w:r>
                        <w:r>
                          <w:rPr>
                            <w:sz w:val="18"/>
                            <w:szCs w:val="18"/>
                          </w:rPr>
                          <w:t>949</w:t>
                        </w:r>
                      </w:p>
                    </w:tc>
                    <w:tc>
                      <w:tcPr>
                        <w:tcW w:w="2911" w:type="dxa"/>
                        <w:gridSpan w:val="2"/>
                        <w:noWrap/>
                        <w:tcMar>
                          <w:top w:w="28" w:type="dxa"/>
                          <w:left w:w="113" w:type="dxa"/>
                          <w:bottom w:w="0" w:type="dxa"/>
                          <w:right w:w="0" w:type="dxa"/>
                        </w:tcMar>
                      </w:tcPr>
                      <w:p w:rsidR="0058625D" w:rsidRPr="003539AA" w:rsidRDefault="0058625D" w:rsidP="00B15C4B">
                        <w:pPr>
                          <w:spacing w:line="264" w:lineRule="auto"/>
                          <w:suppressOverlap/>
                          <w:rPr>
                            <w:rFonts w:cs="Arial"/>
                            <w:sz w:val="18"/>
                            <w:szCs w:val="18"/>
                          </w:rPr>
                        </w:pPr>
                        <w:r w:rsidRPr="003539AA">
                          <w:rPr>
                            <w:sz w:val="18"/>
                            <w:szCs w:val="18"/>
                          </w:rPr>
                          <w:t>www.</w:t>
                        </w:r>
                        <w:r>
                          <w:rPr>
                            <w:sz w:val="18"/>
                            <w:szCs w:val="18"/>
                          </w:rPr>
                          <w:t>spasbm</w:t>
                        </w:r>
                        <w:r w:rsidRPr="003539AA">
                          <w:rPr>
                            <w:sz w:val="18"/>
                            <w:szCs w:val="18"/>
                          </w:rPr>
                          <w:t>.ro</w:t>
                        </w:r>
                      </w:p>
                    </w:tc>
                  </w:tr>
                  <w:tr w:rsidR="0058625D">
                    <w:tblPrEx>
                      <w:tblCellMar>
                        <w:top w:w="0" w:type="dxa"/>
                      </w:tblCellMar>
                    </w:tblPrEx>
                    <w:trPr>
                      <w:trHeight w:hRule="exact" w:val="244"/>
                    </w:trPr>
                    <w:tc>
                      <w:tcPr>
                        <w:tcW w:w="5854" w:type="dxa"/>
                        <w:gridSpan w:val="4"/>
                        <w:noWrap/>
                      </w:tcPr>
                      <w:p w:rsidR="0058625D" w:rsidRPr="001E5B1C" w:rsidRDefault="0058625D" w:rsidP="00B15C4B">
                        <w:pPr>
                          <w:spacing w:line="240" w:lineRule="exact"/>
                          <w:rPr>
                            <w:rFonts w:cs="Arial"/>
                          </w:rPr>
                        </w:pPr>
                      </w:p>
                    </w:tc>
                  </w:tr>
                  <w:tr w:rsidR="0058625D">
                    <w:tblPrEx>
                      <w:tblCellMar>
                        <w:top w:w="0" w:type="dxa"/>
                      </w:tblCellMar>
                    </w:tblPrEx>
                    <w:trPr>
                      <w:trHeight w:hRule="exact" w:val="244"/>
                    </w:trPr>
                    <w:tc>
                      <w:tcPr>
                        <w:tcW w:w="5854" w:type="dxa"/>
                        <w:gridSpan w:val="4"/>
                        <w:noWrap/>
                      </w:tcPr>
                      <w:p w:rsidR="0058625D" w:rsidRPr="00315A40" w:rsidRDefault="0058625D" w:rsidP="00B15C4B">
                        <w:pPr>
                          <w:spacing w:line="240" w:lineRule="exact"/>
                          <w:rPr>
                            <w:rFonts w:cs="Arial"/>
                          </w:rPr>
                        </w:pPr>
                      </w:p>
                    </w:tc>
                  </w:tr>
                  <w:tr w:rsidR="0058625D">
                    <w:tblPrEx>
                      <w:tblCellMar>
                        <w:top w:w="0" w:type="dxa"/>
                      </w:tblCellMar>
                    </w:tblPrEx>
                    <w:trPr>
                      <w:trHeight w:hRule="exact" w:val="244"/>
                    </w:trPr>
                    <w:tc>
                      <w:tcPr>
                        <w:tcW w:w="5854" w:type="dxa"/>
                        <w:gridSpan w:val="4"/>
                        <w:noWrap/>
                      </w:tcPr>
                      <w:p w:rsidR="0058625D" w:rsidRPr="001E5B1C" w:rsidRDefault="0058625D" w:rsidP="00B15C4B">
                        <w:pPr>
                          <w:spacing w:line="240" w:lineRule="exact"/>
                        </w:pPr>
                      </w:p>
                    </w:tc>
                  </w:tr>
                  <w:tr w:rsidR="0058625D">
                    <w:tblPrEx>
                      <w:tblCellMar>
                        <w:top w:w="0" w:type="dxa"/>
                      </w:tblCellMar>
                    </w:tblPrEx>
                    <w:trPr>
                      <w:trHeight w:hRule="exact" w:val="397"/>
                    </w:trPr>
                    <w:tc>
                      <w:tcPr>
                        <w:tcW w:w="2927" w:type="dxa"/>
                        <w:gridSpan w:val="2"/>
                        <w:tcMar>
                          <w:top w:w="164" w:type="dxa"/>
                        </w:tcMar>
                      </w:tcPr>
                      <w:p w:rsidR="0058625D" w:rsidRPr="00F4672F" w:rsidRDefault="0058625D" w:rsidP="00B15C4B">
                        <w:pPr>
                          <w:spacing w:line="240" w:lineRule="exact"/>
                          <w:rPr>
                            <w:sz w:val="18"/>
                            <w:szCs w:val="18"/>
                          </w:rPr>
                        </w:pPr>
                        <w:r w:rsidRPr="00F4672F">
                          <w:rPr>
                            <w:sz w:val="18"/>
                            <w:szCs w:val="18"/>
                          </w:rPr>
                          <w:t>Str. Gheorghe Şincai 37</w:t>
                        </w:r>
                      </w:p>
                    </w:tc>
                    <w:tc>
                      <w:tcPr>
                        <w:tcW w:w="2927" w:type="dxa"/>
                        <w:gridSpan w:val="2"/>
                        <w:tcMar>
                          <w:top w:w="164" w:type="dxa"/>
                        </w:tcMar>
                      </w:tcPr>
                      <w:p w:rsidR="0058625D" w:rsidRPr="00F4672F" w:rsidRDefault="0058625D" w:rsidP="00B15C4B">
                        <w:pPr>
                          <w:spacing w:line="240" w:lineRule="exact"/>
                          <w:rPr>
                            <w:sz w:val="18"/>
                            <w:szCs w:val="18"/>
                          </w:rPr>
                        </w:pPr>
                        <w:r w:rsidRPr="00F4672F">
                          <w:rPr>
                            <w:sz w:val="18"/>
                            <w:szCs w:val="18"/>
                          </w:rPr>
                          <w:t xml:space="preserve">Fax: +40 262 212 332 </w:t>
                        </w:r>
                      </w:p>
                    </w:tc>
                  </w:tr>
                  <w:tr w:rsidR="0058625D">
                    <w:tblPrEx>
                      <w:tblCellMar>
                        <w:top w:w="0" w:type="dxa"/>
                      </w:tblCellMar>
                    </w:tblPrEx>
                    <w:trPr>
                      <w:trHeight w:hRule="exact" w:val="244"/>
                    </w:trPr>
                    <w:tc>
                      <w:tcPr>
                        <w:tcW w:w="2927" w:type="dxa"/>
                        <w:gridSpan w:val="2"/>
                      </w:tcPr>
                      <w:p w:rsidR="0058625D" w:rsidRPr="00F4672F" w:rsidRDefault="0058625D" w:rsidP="00B15C4B">
                        <w:pPr>
                          <w:spacing w:line="240" w:lineRule="exact"/>
                          <w:rPr>
                            <w:sz w:val="18"/>
                            <w:szCs w:val="18"/>
                          </w:rPr>
                        </w:pPr>
                        <w:r w:rsidRPr="00F4672F">
                          <w:rPr>
                            <w:sz w:val="18"/>
                            <w:szCs w:val="18"/>
                          </w:rPr>
                          <w:t>430311, Baia Mare, România</w:t>
                        </w:r>
                      </w:p>
                    </w:tc>
                    <w:tc>
                      <w:tcPr>
                        <w:tcW w:w="2927" w:type="dxa"/>
                        <w:gridSpan w:val="2"/>
                      </w:tcPr>
                      <w:p w:rsidR="0058625D" w:rsidRPr="00F4672F" w:rsidRDefault="0058625D" w:rsidP="00B15C4B">
                        <w:pPr>
                          <w:spacing w:line="240" w:lineRule="exact"/>
                          <w:rPr>
                            <w:sz w:val="18"/>
                            <w:szCs w:val="18"/>
                          </w:rPr>
                        </w:pPr>
                        <w:r w:rsidRPr="00F4672F">
                          <w:rPr>
                            <w:sz w:val="18"/>
                            <w:szCs w:val="18"/>
                          </w:rPr>
                          <w:t>Email: primar@baiamare.ro</w:t>
                        </w:r>
                      </w:p>
                    </w:tc>
                  </w:tr>
                  <w:tr w:rsidR="0058625D">
                    <w:tblPrEx>
                      <w:tblCellMar>
                        <w:top w:w="0" w:type="dxa"/>
                      </w:tblCellMar>
                    </w:tblPrEx>
                    <w:trPr>
                      <w:trHeight w:hRule="exact" w:val="244"/>
                    </w:trPr>
                    <w:tc>
                      <w:tcPr>
                        <w:tcW w:w="2927" w:type="dxa"/>
                        <w:gridSpan w:val="2"/>
                      </w:tcPr>
                      <w:p w:rsidR="0058625D" w:rsidRPr="00F4672F" w:rsidRDefault="0058625D" w:rsidP="00B15C4B">
                        <w:pPr>
                          <w:spacing w:line="240" w:lineRule="exact"/>
                          <w:rPr>
                            <w:sz w:val="18"/>
                            <w:szCs w:val="18"/>
                          </w:rPr>
                        </w:pPr>
                        <w:r w:rsidRPr="00F4672F">
                          <w:rPr>
                            <w:sz w:val="18"/>
                            <w:szCs w:val="18"/>
                          </w:rPr>
                          <w:t>Telefon: +40 262 213 824</w:t>
                        </w:r>
                      </w:p>
                    </w:tc>
                    <w:tc>
                      <w:tcPr>
                        <w:tcW w:w="2927" w:type="dxa"/>
                        <w:gridSpan w:val="2"/>
                      </w:tcPr>
                      <w:p w:rsidR="0058625D" w:rsidRPr="00F4672F" w:rsidRDefault="0058625D" w:rsidP="00B15C4B">
                        <w:pPr>
                          <w:spacing w:line="240" w:lineRule="exact"/>
                          <w:rPr>
                            <w:sz w:val="18"/>
                            <w:szCs w:val="18"/>
                          </w:rPr>
                        </w:pPr>
                        <w:r>
                          <w:rPr>
                            <w:sz w:val="18"/>
                            <w:szCs w:val="18"/>
                          </w:rPr>
                          <w:t>W</w:t>
                        </w:r>
                        <w:r w:rsidRPr="00F4672F">
                          <w:rPr>
                            <w:sz w:val="18"/>
                            <w:szCs w:val="18"/>
                          </w:rPr>
                          <w:t>eb: www.baiamare.ro</w:t>
                        </w:r>
                      </w:p>
                    </w:tc>
                  </w:tr>
                </w:tbl>
                <w:p w:rsidR="0058625D" w:rsidRDefault="0058625D" w:rsidP="002C3A9E"/>
              </w:txbxContent>
            </v:textbox>
          </v:shape>
          <w10:wrap type="square" anchory="page"/>
          <w10:anchorlock/>
        </v:group>
      </w:pict>
    </w:r>
  </w:p>
  <w:p w:rsidR="0058625D" w:rsidRPr="002C3A9E" w:rsidRDefault="0058625D" w:rsidP="002C3A9E">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ascii="Times New Roman" w:hAnsi="Times New Roman" w:cs="Times New Roman"/>
      </w:rPr>
    </w:lvl>
    <w:lvl w:ilvl="1">
      <w:start w:val="1"/>
      <w:numFmt w:val="none"/>
      <w:pStyle w:val="Heading2"/>
      <w:lvlText w:val=""/>
      <w:lvlJc w:val="left"/>
      <w:pPr>
        <w:tabs>
          <w:tab w:val="num" w:pos="576"/>
        </w:tabs>
        <w:ind w:left="576" w:hanging="576"/>
      </w:pPr>
      <w:rPr>
        <w:rFonts w:ascii="Times New Roman" w:hAnsi="Times New Roman" w:cs="Times New Roman"/>
      </w:rPr>
    </w:lvl>
    <w:lvl w:ilvl="2">
      <w:start w:val="1"/>
      <w:numFmt w:val="none"/>
      <w:lvlText w:val=""/>
      <w:lvlJc w:val="left"/>
      <w:pPr>
        <w:tabs>
          <w:tab w:val="num" w:pos="720"/>
        </w:tabs>
        <w:ind w:left="720" w:hanging="720"/>
      </w:pPr>
      <w:rPr>
        <w:rFonts w:ascii="Times New Roman" w:hAnsi="Times New Roman" w:cs="Times New Roman"/>
      </w:rPr>
    </w:lvl>
    <w:lvl w:ilvl="3">
      <w:start w:val="1"/>
      <w:numFmt w:val="none"/>
      <w:lvlText w:val=""/>
      <w:lvlJc w:val="left"/>
      <w:pPr>
        <w:tabs>
          <w:tab w:val="num" w:pos="864"/>
        </w:tabs>
        <w:ind w:left="864" w:hanging="864"/>
      </w:pPr>
      <w:rPr>
        <w:rFonts w:ascii="Times New Roman" w:hAnsi="Times New Roman" w:cs="Times New Roman"/>
      </w:rPr>
    </w:lvl>
    <w:lvl w:ilvl="4">
      <w:start w:val="1"/>
      <w:numFmt w:val="none"/>
      <w:lvlText w:val=""/>
      <w:lvlJc w:val="left"/>
      <w:pPr>
        <w:tabs>
          <w:tab w:val="num" w:pos="1008"/>
        </w:tabs>
        <w:ind w:left="1008" w:hanging="1008"/>
      </w:pPr>
      <w:rPr>
        <w:rFonts w:ascii="Times New Roman" w:hAnsi="Times New Roman" w:cs="Times New Roman"/>
      </w:rPr>
    </w:lvl>
    <w:lvl w:ilvl="5">
      <w:start w:val="1"/>
      <w:numFmt w:val="none"/>
      <w:lvlText w:val=""/>
      <w:lvlJc w:val="left"/>
      <w:pPr>
        <w:tabs>
          <w:tab w:val="num" w:pos="1152"/>
        </w:tabs>
        <w:ind w:left="1152" w:hanging="1152"/>
      </w:pPr>
      <w:rPr>
        <w:rFonts w:ascii="Times New Roman" w:hAnsi="Times New Roman" w:cs="Times New Roman"/>
      </w:rPr>
    </w:lvl>
    <w:lvl w:ilvl="6">
      <w:start w:val="1"/>
      <w:numFmt w:val="none"/>
      <w:lvlText w:val=""/>
      <w:lvlJc w:val="left"/>
      <w:pPr>
        <w:tabs>
          <w:tab w:val="num" w:pos="1296"/>
        </w:tabs>
        <w:ind w:left="1296" w:hanging="1296"/>
      </w:pPr>
      <w:rPr>
        <w:rFonts w:ascii="Times New Roman" w:hAnsi="Times New Roman" w:cs="Times New Roman"/>
      </w:rPr>
    </w:lvl>
    <w:lvl w:ilvl="7">
      <w:start w:val="1"/>
      <w:numFmt w:val="none"/>
      <w:lvlText w:val=""/>
      <w:lvlJc w:val="left"/>
      <w:pPr>
        <w:tabs>
          <w:tab w:val="num" w:pos="1440"/>
        </w:tabs>
        <w:ind w:left="1440" w:hanging="1440"/>
      </w:pPr>
      <w:rPr>
        <w:rFonts w:ascii="Times New Roman" w:hAnsi="Times New Roman" w:cs="Times New Roman"/>
      </w:rPr>
    </w:lvl>
    <w:lvl w:ilvl="8">
      <w:start w:val="1"/>
      <w:numFmt w:val="none"/>
      <w:lvlText w:val=""/>
      <w:lvlJc w:val="left"/>
      <w:pPr>
        <w:tabs>
          <w:tab w:val="num" w:pos="1584"/>
        </w:tabs>
        <w:ind w:left="1584" w:hanging="1584"/>
      </w:pPr>
      <w:rPr>
        <w:rFonts w:ascii="Times New Roman" w:hAnsi="Times New Roman" w:cs="Times New Roman"/>
      </w:rPr>
    </w:lvl>
  </w:abstractNum>
  <w:abstractNum w:abstractNumId="1">
    <w:nsid w:val="00C77EAD"/>
    <w:multiLevelType w:val="hybridMultilevel"/>
    <w:tmpl w:val="E77C132C"/>
    <w:lvl w:ilvl="0" w:tplc="B5FCF2B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634E89"/>
    <w:multiLevelType w:val="multilevel"/>
    <w:tmpl w:val="1DD4BB24"/>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05484C11"/>
    <w:multiLevelType w:val="hybridMultilevel"/>
    <w:tmpl w:val="8A24F5B8"/>
    <w:lvl w:ilvl="0" w:tplc="B7F00EBC">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18FA5879"/>
    <w:multiLevelType w:val="hybridMultilevel"/>
    <w:tmpl w:val="D118139A"/>
    <w:lvl w:ilvl="0" w:tplc="4148E6E8">
      <w:start w:val="19"/>
      <w:numFmt w:val="bullet"/>
      <w:lvlText w:val="-"/>
      <w:lvlJc w:val="left"/>
      <w:pPr>
        <w:ind w:left="720" w:hanging="360"/>
      </w:pPr>
      <w:rPr>
        <w:rFonts w:ascii="Museo Sans 500" w:eastAsia="Times New Roman" w:hAnsi="Museo Sans 500"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1A81013F"/>
    <w:multiLevelType w:val="hybridMultilevel"/>
    <w:tmpl w:val="83DAB354"/>
    <w:lvl w:ilvl="0" w:tplc="5BD46FE8">
      <w:start w:val="2"/>
      <w:numFmt w:val="bullet"/>
      <w:lvlText w:val="-"/>
      <w:lvlJc w:val="left"/>
      <w:pPr>
        <w:ind w:left="720" w:hanging="360"/>
      </w:pPr>
      <w:rPr>
        <w:rFonts w:ascii="Arial" w:eastAsia="Times New Roman" w:hAnsi="Arial" w:hint="default"/>
        <w:sz w:val="2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605499E"/>
    <w:multiLevelType w:val="hybridMultilevel"/>
    <w:tmpl w:val="F03CB63E"/>
    <w:lvl w:ilvl="0" w:tplc="0409000B">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nsid w:val="349F7D6A"/>
    <w:multiLevelType w:val="hybridMultilevel"/>
    <w:tmpl w:val="1DD4BB2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8">
    <w:nsid w:val="3F142297"/>
    <w:multiLevelType w:val="hybridMultilevel"/>
    <w:tmpl w:val="58FE835A"/>
    <w:lvl w:ilvl="0" w:tplc="04180005">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hint="default"/>
      </w:rPr>
    </w:lvl>
    <w:lvl w:ilvl="8" w:tplc="04180005">
      <w:start w:val="1"/>
      <w:numFmt w:val="bullet"/>
      <w:lvlText w:val=""/>
      <w:lvlJc w:val="left"/>
      <w:pPr>
        <w:ind w:left="7200" w:hanging="360"/>
      </w:pPr>
      <w:rPr>
        <w:rFonts w:ascii="Wingdings" w:hAnsi="Wingdings" w:hint="default"/>
      </w:rPr>
    </w:lvl>
  </w:abstractNum>
  <w:abstractNum w:abstractNumId="9">
    <w:nsid w:val="508829F5"/>
    <w:multiLevelType w:val="hybridMultilevel"/>
    <w:tmpl w:val="8DE047F2"/>
    <w:lvl w:ilvl="0" w:tplc="27D6A57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579241A9"/>
    <w:multiLevelType w:val="hybridMultilevel"/>
    <w:tmpl w:val="30C07BE4"/>
    <w:lvl w:ilvl="0" w:tplc="7C7C0D6C">
      <w:start w:val="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B505DD7"/>
    <w:multiLevelType w:val="hybridMultilevel"/>
    <w:tmpl w:val="ADF4E48E"/>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64636E25"/>
    <w:multiLevelType w:val="hybridMultilevel"/>
    <w:tmpl w:val="8BEC7224"/>
    <w:lvl w:ilvl="0" w:tplc="27D6A57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69E13928"/>
    <w:multiLevelType w:val="hybridMultilevel"/>
    <w:tmpl w:val="D1DEEDBC"/>
    <w:lvl w:ilvl="0" w:tplc="04180005">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hint="default"/>
      </w:rPr>
    </w:lvl>
    <w:lvl w:ilvl="8" w:tplc="04180005">
      <w:start w:val="1"/>
      <w:numFmt w:val="bullet"/>
      <w:lvlText w:val=""/>
      <w:lvlJc w:val="left"/>
      <w:pPr>
        <w:ind w:left="7200" w:hanging="360"/>
      </w:pPr>
      <w:rPr>
        <w:rFonts w:ascii="Wingdings" w:hAnsi="Wingdings" w:hint="default"/>
      </w:rPr>
    </w:lvl>
  </w:abstractNum>
  <w:abstractNum w:abstractNumId="14">
    <w:nsid w:val="6E517615"/>
    <w:multiLevelType w:val="hybridMultilevel"/>
    <w:tmpl w:val="F23EE27E"/>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num w:numId="1">
    <w:abstractNumId w:val="7"/>
  </w:num>
  <w:num w:numId="2">
    <w:abstractNumId w:val="2"/>
  </w:num>
  <w:num w:numId="3">
    <w:abstractNumId w:val="6"/>
  </w:num>
  <w:num w:numId="4">
    <w:abstractNumId w:val="1"/>
  </w:num>
  <w:num w:numId="5">
    <w:abstractNumId w:val="0"/>
  </w:num>
  <w:num w:numId="6">
    <w:abstractNumId w:val="4"/>
  </w:num>
  <w:num w:numId="7">
    <w:abstractNumId w:val="12"/>
  </w:num>
  <w:num w:numId="8">
    <w:abstractNumId w:val="13"/>
  </w:num>
  <w:num w:numId="9">
    <w:abstractNumId w:val="11"/>
  </w:num>
  <w:num w:numId="10">
    <w:abstractNumId w:val="8"/>
  </w:num>
  <w:num w:numId="11">
    <w:abstractNumId w:val="9"/>
  </w:num>
  <w:num w:numId="12">
    <w:abstractNumId w:val="10"/>
  </w:num>
  <w:num w:numId="13">
    <w:abstractNumId w:val="5"/>
  </w:num>
  <w:num w:numId="14">
    <w:abstractNumId w:val="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375C"/>
    <w:rsid w:val="00000D4C"/>
    <w:rsid w:val="00027483"/>
    <w:rsid w:val="0003032E"/>
    <w:rsid w:val="00033B77"/>
    <w:rsid w:val="00067ECB"/>
    <w:rsid w:val="00084E68"/>
    <w:rsid w:val="00085CCE"/>
    <w:rsid w:val="000A0D86"/>
    <w:rsid w:val="000A3BDC"/>
    <w:rsid w:val="000A7192"/>
    <w:rsid w:val="000B676A"/>
    <w:rsid w:val="000C0437"/>
    <w:rsid w:val="000C536F"/>
    <w:rsid w:val="000D40F2"/>
    <w:rsid w:val="000E10F2"/>
    <w:rsid w:val="000E59EE"/>
    <w:rsid w:val="001069D8"/>
    <w:rsid w:val="00123644"/>
    <w:rsid w:val="001267C8"/>
    <w:rsid w:val="00130E72"/>
    <w:rsid w:val="00146B0E"/>
    <w:rsid w:val="00153C4E"/>
    <w:rsid w:val="001563DC"/>
    <w:rsid w:val="0017019F"/>
    <w:rsid w:val="00171992"/>
    <w:rsid w:val="00172B7A"/>
    <w:rsid w:val="00175B35"/>
    <w:rsid w:val="00184465"/>
    <w:rsid w:val="001A600D"/>
    <w:rsid w:val="001A7C50"/>
    <w:rsid w:val="001B34C9"/>
    <w:rsid w:val="001C2920"/>
    <w:rsid w:val="001C3C20"/>
    <w:rsid w:val="001E3B13"/>
    <w:rsid w:val="001E5B1C"/>
    <w:rsid w:val="001F52FC"/>
    <w:rsid w:val="00213836"/>
    <w:rsid w:val="00223060"/>
    <w:rsid w:val="0023171B"/>
    <w:rsid w:val="0023578C"/>
    <w:rsid w:val="00236519"/>
    <w:rsid w:val="00276FAB"/>
    <w:rsid w:val="00282239"/>
    <w:rsid w:val="00283B55"/>
    <w:rsid w:val="002843DD"/>
    <w:rsid w:val="00292FF4"/>
    <w:rsid w:val="002C3A9E"/>
    <w:rsid w:val="002E58A6"/>
    <w:rsid w:val="003034C9"/>
    <w:rsid w:val="00305DF6"/>
    <w:rsid w:val="00310406"/>
    <w:rsid w:val="00314CC3"/>
    <w:rsid w:val="00315A40"/>
    <w:rsid w:val="00336FF6"/>
    <w:rsid w:val="003539AA"/>
    <w:rsid w:val="00354644"/>
    <w:rsid w:val="003657C5"/>
    <w:rsid w:val="0038566E"/>
    <w:rsid w:val="00393485"/>
    <w:rsid w:val="00397BB5"/>
    <w:rsid w:val="003B6064"/>
    <w:rsid w:val="003B7F4A"/>
    <w:rsid w:val="003C4876"/>
    <w:rsid w:val="003D3445"/>
    <w:rsid w:val="003F5FE2"/>
    <w:rsid w:val="0040061E"/>
    <w:rsid w:val="004016EE"/>
    <w:rsid w:val="00402931"/>
    <w:rsid w:val="0040408F"/>
    <w:rsid w:val="0041737A"/>
    <w:rsid w:val="00423999"/>
    <w:rsid w:val="00427472"/>
    <w:rsid w:val="00433E06"/>
    <w:rsid w:val="00440CC9"/>
    <w:rsid w:val="00442AF1"/>
    <w:rsid w:val="00455C7B"/>
    <w:rsid w:val="0046233A"/>
    <w:rsid w:val="004663AA"/>
    <w:rsid w:val="004708D6"/>
    <w:rsid w:val="00492B2C"/>
    <w:rsid w:val="004A0B84"/>
    <w:rsid w:val="004B77F8"/>
    <w:rsid w:val="004B7B6C"/>
    <w:rsid w:val="0058625D"/>
    <w:rsid w:val="0059673F"/>
    <w:rsid w:val="005A6171"/>
    <w:rsid w:val="005C12EB"/>
    <w:rsid w:val="005C569C"/>
    <w:rsid w:val="005C5C6B"/>
    <w:rsid w:val="005C66D9"/>
    <w:rsid w:val="005D2DD5"/>
    <w:rsid w:val="005E2E30"/>
    <w:rsid w:val="005F1F72"/>
    <w:rsid w:val="006161BC"/>
    <w:rsid w:val="0062026E"/>
    <w:rsid w:val="006505EF"/>
    <w:rsid w:val="00660C4C"/>
    <w:rsid w:val="006643EE"/>
    <w:rsid w:val="00675BAA"/>
    <w:rsid w:val="006778F0"/>
    <w:rsid w:val="00693686"/>
    <w:rsid w:val="006B46B5"/>
    <w:rsid w:val="006D645A"/>
    <w:rsid w:val="006E3620"/>
    <w:rsid w:val="006F3E00"/>
    <w:rsid w:val="00700632"/>
    <w:rsid w:val="00724601"/>
    <w:rsid w:val="007370DE"/>
    <w:rsid w:val="00756B0A"/>
    <w:rsid w:val="00762002"/>
    <w:rsid w:val="00791A9A"/>
    <w:rsid w:val="007A2D45"/>
    <w:rsid w:val="007A735F"/>
    <w:rsid w:val="007B3EFB"/>
    <w:rsid w:val="007B4088"/>
    <w:rsid w:val="007C218C"/>
    <w:rsid w:val="007C7C79"/>
    <w:rsid w:val="007D7561"/>
    <w:rsid w:val="007E0C5D"/>
    <w:rsid w:val="007E3A80"/>
    <w:rsid w:val="007E5189"/>
    <w:rsid w:val="007F0EA2"/>
    <w:rsid w:val="007F587B"/>
    <w:rsid w:val="008150D5"/>
    <w:rsid w:val="008213B9"/>
    <w:rsid w:val="00822CA1"/>
    <w:rsid w:val="008348DD"/>
    <w:rsid w:val="008529D5"/>
    <w:rsid w:val="008601F9"/>
    <w:rsid w:val="00867D26"/>
    <w:rsid w:val="008725DB"/>
    <w:rsid w:val="00876A71"/>
    <w:rsid w:val="00895EEF"/>
    <w:rsid w:val="008A1BDD"/>
    <w:rsid w:val="008C63C4"/>
    <w:rsid w:val="008D44D7"/>
    <w:rsid w:val="008E53E9"/>
    <w:rsid w:val="0090119D"/>
    <w:rsid w:val="00906A98"/>
    <w:rsid w:val="00911DFD"/>
    <w:rsid w:val="00934442"/>
    <w:rsid w:val="00955708"/>
    <w:rsid w:val="00963331"/>
    <w:rsid w:val="00970BF0"/>
    <w:rsid w:val="00972ABE"/>
    <w:rsid w:val="009945F0"/>
    <w:rsid w:val="00996DB3"/>
    <w:rsid w:val="009B62FA"/>
    <w:rsid w:val="009C1F55"/>
    <w:rsid w:val="009E5BB6"/>
    <w:rsid w:val="00A10376"/>
    <w:rsid w:val="00A11285"/>
    <w:rsid w:val="00A159C1"/>
    <w:rsid w:val="00A222F1"/>
    <w:rsid w:val="00A24492"/>
    <w:rsid w:val="00A24FF8"/>
    <w:rsid w:val="00A26B2F"/>
    <w:rsid w:val="00A32011"/>
    <w:rsid w:val="00A3784B"/>
    <w:rsid w:val="00A46066"/>
    <w:rsid w:val="00A77709"/>
    <w:rsid w:val="00AA190A"/>
    <w:rsid w:val="00AA36FC"/>
    <w:rsid w:val="00AA71DA"/>
    <w:rsid w:val="00AB4FFB"/>
    <w:rsid w:val="00AC0E57"/>
    <w:rsid w:val="00AD3136"/>
    <w:rsid w:val="00AD674A"/>
    <w:rsid w:val="00B02E1E"/>
    <w:rsid w:val="00B0333B"/>
    <w:rsid w:val="00B078FB"/>
    <w:rsid w:val="00B1410B"/>
    <w:rsid w:val="00B15C4B"/>
    <w:rsid w:val="00B20EC9"/>
    <w:rsid w:val="00B359E6"/>
    <w:rsid w:val="00B5707F"/>
    <w:rsid w:val="00B67BB4"/>
    <w:rsid w:val="00B84250"/>
    <w:rsid w:val="00BB338C"/>
    <w:rsid w:val="00BB740B"/>
    <w:rsid w:val="00BD445B"/>
    <w:rsid w:val="00C1207A"/>
    <w:rsid w:val="00C14C39"/>
    <w:rsid w:val="00C169F0"/>
    <w:rsid w:val="00C216B8"/>
    <w:rsid w:val="00C2484B"/>
    <w:rsid w:val="00C27E69"/>
    <w:rsid w:val="00C300E5"/>
    <w:rsid w:val="00C53D6D"/>
    <w:rsid w:val="00C56BA6"/>
    <w:rsid w:val="00C61EC7"/>
    <w:rsid w:val="00C86632"/>
    <w:rsid w:val="00C962A7"/>
    <w:rsid w:val="00C96446"/>
    <w:rsid w:val="00CB4405"/>
    <w:rsid w:val="00CC1B1B"/>
    <w:rsid w:val="00CD5942"/>
    <w:rsid w:val="00CF6BA3"/>
    <w:rsid w:val="00D03B39"/>
    <w:rsid w:val="00D15A7E"/>
    <w:rsid w:val="00D23D5C"/>
    <w:rsid w:val="00D52E0F"/>
    <w:rsid w:val="00D55B05"/>
    <w:rsid w:val="00D729C3"/>
    <w:rsid w:val="00D82459"/>
    <w:rsid w:val="00D86231"/>
    <w:rsid w:val="00D949AB"/>
    <w:rsid w:val="00DA0A4F"/>
    <w:rsid w:val="00DB5FA4"/>
    <w:rsid w:val="00DB62E2"/>
    <w:rsid w:val="00DB7BAF"/>
    <w:rsid w:val="00DC52CF"/>
    <w:rsid w:val="00DC5ABE"/>
    <w:rsid w:val="00DE265D"/>
    <w:rsid w:val="00DF0834"/>
    <w:rsid w:val="00DF5846"/>
    <w:rsid w:val="00DF5DB7"/>
    <w:rsid w:val="00E361E7"/>
    <w:rsid w:val="00E4266F"/>
    <w:rsid w:val="00E42674"/>
    <w:rsid w:val="00E51176"/>
    <w:rsid w:val="00E647C1"/>
    <w:rsid w:val="00E772F8"/>
    <w:rsid w:val="00E84F5F"/>
    <w:rsid w:val="00E85E83"/>
    <w:rsid w:val="00E94C3B"/>
    <w:rsid w:val="00EA2FEC"/>
    <w:rsid w:val="00EC5F4D"/>
    <w:rsid w:val="00ED49EE"/>
    <w:rsid w:val="00F01E87"/>
    <w:rsid w:val="00F23DF1"/>
    <w:rsid w:val="00F2564F"/>
    <w:rsid w:val="00F3229B"/>
    <w:rsid w:val="00F32AB0"/>
    <w:rsid w:val="00F4364F"/>
    <w:rsid w:val="00F4672F"/>
    <w:rsid w:val="00F5631F"/>
    <w:rsid w:val="00F6375C"/>
    <w:rsid w:val="00F670E9"/>
    <w:rsid w:val="00F840C7"/>
    <w:rsid w:val="00FA57BA"/>
    <w:rsid w:val="00FA5C79"/>
    <w:rsid w:val="00FB46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B13"/>
    <w:rPr>
      <w:sz w:val="24"/>
      <w:szCs w:val="24"/>
    </w:rPr>
  </w:style>
  <w:style w:type="paragraph" w:styleId="Heading2">
    <w:name w:val="heading 2"/>
    <w:basedOn w:val="Normal"/>
    <w:next w:val="Normal"/>
    <w:link w:val="Heading2Char"/>
    <w:uiPriority w:val="99"/>
    <w:qFormat/>
    <w:rsid w:val="00F670E9"/>
    <w:pPr>
      <w:keepNext/>
      <w:numPr>
        <w:ilvl w:val="1"/>
        <w:numId w:val="5"/>
      </w:numPr>
      <w:suppressAutoHyphens/>
      <w:outlineLvl w:val="1"/>
    </w:pPr>
    <w:rPr>
      <w:rFonts w:ascii="Arial" w:hAnsi="Arial" w:cs="Arial"/>
      <w:b/>
      <w:sz w:val="18"/>
      <w:szCs w:val="18"/>
      <w:lang w:val="it-IT"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670E9"/>
    <w:rPr>
      <w:rFonts w:ascii="Arial" w:hAnsi="Arial" w:cs="Arial"/>
      <w:b/>
      <w:sz w:val="18"/>
      <w:szCs w:val="18"/>
      <w:lang w:val="it-IT" w:eastAsia="ar-SA" w:bidi="ar-SA"/>
    </w:rPr>
  </w:style>
  <w:style w:type="table" w:styleId="TableGrid">
    <w:name w:val="Table Grid"/>
    <w:basedOn w:val="TableNormal"/>
    <w:uiPriority w:val="99"/>
    <w:rsid w:val="000B676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91A9A"/>
    <w:pPr>
      <w:tabs>
        <w:tab w:val="center" w:pos="4536"/>
        <w:tab w:val="right" w:pos="9072"/>
      </w:tabs>
    </w:pPr>
  </w:style>
  <w:style w:type="character" w:customStyle="1" w:styleId="HeaderChar">
    <w:name w:val="Header Char"/>
    <w:basedOn w:val="DefaultParagraphFont"/>
    <w:link w:val="Header"/>
    <w:uiPriority w:val="99"/>
    <w:rsid w:val="00791A9A"/>
    <w:rPr>
      <w:rFonts w:cs="Times New Roman"/>
      <w:sz w:val="24"/>
      <w:szCs w:val="24"/>
      <w:lang w:val="en-US" w:eastAsia="en-US"/>
    </w:rPr>
  </w:style>
  <w:style w:type="paragraph" w:styleId="Footer">
    <w:name w:val="footer"/>
    <w:basedOn w:val="Normal"/>
    <w:link w:val="FooterChar"/>
    <w:uiPriority w:val="99"/>
    <w:rsid w:val="00791A9A"/>
    <w:pPr>
      <w:tabs>
        <w:tab w:val="center" w:pos="4536"/>
        <w:tab w:val="right" w:pos="9072"/>
      </w:tabs>
    </w:pPr>
  </w:style>
  <w:style w:type="character" w:customStyle="1" w:styleId="FooterChar">
    <w:name w:val="Footer Char"/>
    <w:basedOn w:val="DefaultParagraphFont"/>
    <w:link w:val="Footer"/>
    <w:uiPriority w:val="99"/>
    <w:rsid w:val="00791A9A"/>
    <w:rPr>
      <w:rFonts w:cs="Times New Roman"/>
      <w:sz w:val="24"/>
      <w:szCs w:val="24"/>
      <w:lang w:val="en-US" w:eastAsia="en-US"/>
    </w:rPr>
  </w:style>
  <w:style w:type="character" w:styleId="Hyperlink">
    <w:name w:val="Hyperlink"/>
    <w:basedOn w:val="DefaultParagraphFont"/>
    <w:uiPriority w:val="99"/>
    <w:rsid w:val="00276FAB"/>
    <w:rPr>
      <w:rFonts w:cs="Times New Roman"/>
      <w:color w:val="0000FF"/>
      <w:u w:val="single"/>
    </w:rPr>
  </w:style>
  <w:style w:type="paragraph" w:styleId="BodyText">
    <w:name w:val="Body Text"/>
    <w:basedOn w:val="Normal"/>
    <w:link w:val="BodyTextChar"/>
    <w:uiPriority w:val="99"/>
    <w:rsid w:val="00E4266F"/>
    <w:pPr>
      <w:spacing w:after="120"/>
    </w:pPr>
    <w:rPr>
      <w:sz w:val="20"/>
      <w:szCs w:val="20"/>
    </w:rPr>
  </w:style>
  <w:style w:type="character" w:customStyle="1" w:styleId="BodyTextChar">
    <w:name w:val="Body Text Char"/>
    <w:basedOn w:val="DefaultParagraphFont"/>
    <w:link w:val="BodyText"/>
    <w:uiPriority w:val="99"/>
    <w:rsid w:val="00E4266F"/>
    <w:rPr>
      <w:rFonts w:cs="Times New Roman"/>
      <w:lang w:val="en-US" w:eastAsia="en-US"/>
    </w:rPr>
  </w:style>
  <w:style w:type="paragraph" w:styleId="NoSpacing">
    <w:name w:val="No Spacing"/>
    <w:uiPriority w:val="99"/>
    <w:qFormat/>
    <w:rsid w:val="002C3A9E"/>
    <w:rPr>
      <w:rFonts w:ascii="Arial" w:hAnsi="Arial"/>
      <w:spacing w:val="4"/>
      <w:kern w:val="2"/>
      <w:sz w:val="18"/>
      <w:szCs w:val="24"/>
      <w:lang w:val="ro-RO" w:eastAsia="ro-RO"/>
    </w:rPr>
  </w:style>
  <w:style w:type="paragraph" w:styleId="ListParagraph">
    <w:name w:val="List Paragraph"/>
    <w:basedOn w:val="Normal"/>
    <w:uiPriority w:val="99"/>
    <w:qFormat/>
    <w:rsid w:val="009B62FA"/>
    <w:pPr>
      <w:ind w:left="720"/>
    </w:pPr>
  </w:style>
  <w:style w:type="character" w:customStyle="1" w:styleId="l5def2">
    <w:name w:val="l5def2"/>
    <w:basedOn w:val="DefaultParagraphFont"/>
    <w:uiPriority w:val="99"/>
    <w:rsid w:val="00693686"/>
    <w:rPr>
      <w:rFonts w:ascii="Arial" w:hAnsi="Arial" w:cs="Arial"/>
      <w:color w:val="000000"/>
      <w:sz w:val="26"/>
      <w:szCs w:val="26"/>
    </w:rPr>
  </w:style>
  <w:style w:type="character" w:customStyle="1" w:styleId="l5def1">
    <w:name w:val="l5def1"/>
    <w:basedOn w:val="DefaultParagraphFont"/>
    <w:uiPriority w:val="99"/>
    <w:rsid w:val="00D55B05"/>
    <w:rPr>
      <w:rFonts w:ascii="Arial" w:hAnsi="Arial" w:cs="Arial"/>
      <w:color w:val="000000"/>
      <w:sz w:val="26"/>
      <w:szCs w:val="26"/>
    </w:rPr>
  </w:style>
  <w:style w:type="character" w:customStyle="1" w:styleId="l5def3">
    <w:name w:val="l5def3"/>
    <w:basedOn w:val="DefaultParagraphFont"/>
    <w:uiPriority w:val="99"/>
    <w:rsid w:val="008C63C4"/>
    <w:rPr>
      <w:rFonts w:ascii="Arial" w:hAnsi="Arial" w:cs="Arial"/>
      <w:color w:val="000000"/>
      <w:sz w:val="26"/>
      <w:szCs w:val="26"/>
    </w:rPr>
  </w:style>
  <w:style w:type="character" w:customStyle="1" w:styleId="l5def4">
    <w:name w:val="l5def4"/>
    <w:basedOn w:val="DefaultParagraphFont"/>
    <w:uiPriority w:val="99"/>
    <w:rsid w:val="008C63C4"/>
    <w:rPr>
      <w:rFonts w:ascii="Arial" w:hAnsi="Arial" w:cs="Arial"/>
      <w:color w:val="000000"/>
      <w:sz w:val="26"/>
      <w:szCs w:val="26"/>
    </w:rPr>
  </w:style>
  <w:style w:type="character" w:customStyle="1" w:styleId="l5def5">
    <w:name w:val="l5def5"/>
    <w:basedOn w:val="DefaultParagraphFont"/>
    <w:uiPriority w:val="99"/>
    <w:rsid w:val="008C63C4"/>
    <w:rPr>
      <w:rFonts w:ascii="Arial" w:hAnsi="Arial" w:cs="Arial"/>
      <w:color w:val="000000"/>
      <w:sz w:val="26"/>
      <w:szCs w:val="26"/>
    </w:rPr>
  </w:style>
  <w:style w:type="character" w:customStyle="1" w:styleId="l5def6">
    <w:name w:val="l5def6"/>
    <w:basedOn w:val="DefaultParagraphFont"/>
    <w:uiPriority w:val="99"/>
    <w:rsid w:val="008C63C4"/>
    <w:rPr>
      <w:rFonts w:ascii="Arial" w:hAnsi="Arial" w:cs="Arial"/>
      <w:color w:val="000000"/>
      <w:sz w:val="26"/>
      <w:szCs w:val="26"/>
    </w:rPr>
  </w:style>
  <w:style w:type="paragraph" w:styleId="BalloonText">
    <w:name w:val="Balloon Text"/>
    <w:basedOn w:val="Normal"/>
    <w:link w:val="BalloonTextChar"/>
    <w:uiPriority w:val="99"/>
    <w:semiHidden/>
    <w:rsid w:val="003B6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064"/>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679894440">
      <w:marLeft w:val="0"/>
      <w:marRight w:val="0"/>
      <w:marTop w:val="0"/>
      <w:marBottom w:val="0"/>
      <w:divBdr>
        <w:top w:val="none" w:sz="0" w:space="0" w:color="auto"/>
        <w:left w:val="none" w:sz="0" w:space="0" w:color="auto"/>
        <w:bottom w:val="none" w:sz="0" w:space="0" w:color="auto"/>
        <w:right w:val="none" w:sz="0" w:space="0" w:color="auto"/>
      </w:divBdr>
    </w:div>
    <w:div w:id="679894441">
      <w:marLeft w:val="0"/>
      <w:marRight w:val="0"/>
      <w:marTop w:val="0"/>
      <w:marBottom w:val="0"/>
      <w:divBdr>
        <w:top w:val="none" w:sz="0" w:space="0" w:color="auto"/>
        <w:left w:val="none" w:sz="0" w:space="0" w:color="auto"/>
        <w:bottom w:val="none" w:sz="0" w:space="0" w:color="auto"/>
        <w:right w:val="none" w:sz="0" w:space="0" w:color="auto"/>
      </w:divBdr>
      <w:divsChild>
        <w:div w:id="679894445">
          <w:marLeft w:val="0"/>
          <w:marRight w:val="0"/>
          <w:marTop w:val="0"/>
          <w:marBottom w:val="0"/>
          <w:divBdr>
            <w:top w:val="none" w:sz="0" w:space="0" w:color="auto"/>
            <w:left w:val="none" w:sz="0" w:space="0" w:color="auto"/>
            <w:bottom w:val="none" w:sz="0" w:space="0" w:color="auto"/>
            <w:right w:val="none" w:sz="0" w:space="0" w:color="auto"/>
          </w:divBdr>
          <w:divsChild>
            <w:div w:id="679894448">
              <w:marLeft w:val="0"/>
              <w:marRight w:val="0"/>
              <w:marTop w:val="0"/>
              <w:marBottom w:val="0"/>
              <w:divBdr>
                <w:top w:val="none" w:sz="0" w:space="0" w:color="auto"/>
                <w:left w:val="none" w:sz="0" w:space="0" w:color="auto"/>
                <w:bottom w:val="none" w:sz="0" w:space="0" w:color="auto"/>
                <w:right w:val="none" w:sz="0" w:space="0" w:color="auto"/>
              </w:divBdr>
              <w:divsChild>
                <w:div w:id="6798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94447">
      <w:marLeft w:val="0"/>
      <w:marRight w:val="0"/>
      <w:marTop w:val="0"/>
      <w:marBottom w:val="0"/>
      <w:divBdr>
        <w:top w:val="none" w:sz="0" w:space="0" w:color="auto"/>
        <w:left w:val="none" w:sz="0" w:space="0" w:color="auto"/>
        <w:bottom w:val="none" w:sz="0" w:space="0" w:color="auto"/>
        <w:right w:val="none" w:sz="0" w:space="0" w:color="auto"/>
      </w:divBdr>
      <w:divsChild>
        <w:div w:id="679894461">
          <w:marLeft w:val="0"/>
          <w:marRight w:val="0"/>
          <w:marTop w:val="0"/>
          <w:marBottom w:val="0"/>
          <w:divBdr>
            <w:top w:val="none" w:sz="0" w:space="0" w:color="auto"/>
            <w:left w:val="none" w:sz="0" w:space="0" w:color="auto"/>
            <w:bottom w:val="none" w:sz="0" w:space="0" w:color="auto"/>
            <w:right w:val="none" w:sz="0" w:space="0" w:color="auto"/>
          </w:divBdr>
          <w:divsChild>
            <w:div w:id="679894443">
              <w:marLeft w:val="0"/>
              <w:marRight w:val="0"/>
              <w:marTop w:val="0"/>
              <w:marBottom w:val="0"/>
              <w:divBdr>
                <w:top w:val="none" w:sz="0" w:space="0" w:color="auto"/>
                <w:left w:val="none" w:sz="0" w:space="0" w:color="auto"/>
                <w:bottom w:val="none" w:sz="0" w:space="0" w:color="auto"/>
                <w:right w:val="none" w:sz="0" w:space="0" w:color="auto"/>
              </w:divBdr>
              <w:divsChild>
                <w:div w:id="679894442">
                  <w:marLeft w:val="0"/>
                  <w:marRight w:val="0"/>
                  <w:marTop w:val="0"/>
                  <w:marBottom w:val="0"/>
                  <w:divBdr>
                    <w:top w:val="none" w:sz="0" w:space="0" w:color="auto"/>
                    <w:left w:val="none" w:sz="0" w:space="0" w:color="auto"/>
                    <w:bottom w:val="none" w:sz="0" w:space="0" w:color="auto"/>
                    <w:right w:val="none" w:sz="0" w:space="0" w:color="auto"/>
                  </w:divBdr>
                </w:div>
              </w:divsChild>
            </w:div>
            <w:div w:id="679894449">
              <w:marLeft w:val="0"/>
              <w:marRight w:val="0"/>
              <w:marTop w:val="0"/>
              <w:marBottom w:val="0"/>
              <w:divBdr>
                <w:top w:val="none" w:sz="0" w:space="0" w:color="auto"/>
                <w:left w:val="none" w:sz="0" w:space="0" w:color="auto"/>
                <w:bottom w:val="none" w:sz="0" w:space="0" w:color="auto"/>
                <w:right w:val="none" w:sz="0" w:space="0" w:color="auto"/>
              </w:divBdr>
              <w:divsChild>
                <w:div w:id="679894444">
                  <w:marLeft w:val="0"/>
                  <w:marRight w:val="0"/>
                  <w:marTop w:val="0"/>
                  <w:marBottom w:val="0"/>
                  <w:divBdr>
                    <w:top w:val="none" w:sz="0" w:space="0" w:color="auto"/>
                    <w:left w:val="none" w:sz="0" w:space="0" w:color="auto"/>
                    <w:bottom w:val="none" w:sz="0" w:space="0" w:color="auto"/>
                    <w:right w:val="none" w:sz="0" w:space="0" w:color="auto"/>
                  </w:divBdr>
                </w:div>
              </w:divsChild>
            </w:div>
            <w:div w:id="679894459">
              <w:marLeft w:val="0"/>
              <w:marRight w:val="0"/>
              <w:marTop w:val="0"/>
              <w:marBottom w:val="0"/>
              <w:divBdr>
                <w:top w:val="none" w:sz="0" w:space="0" w:color="auto"/>
                <w:left w:val="none" w:sz="0" w:space="0" w:color="auto"/>
                <w:bottom w:val="none" w:sz="0" w:space="0" w:color="auto"/>
                <w:right w:val="none" w:sz="0" w:space="0" w:color="auto"/>
              </w:divBdr>
              <w:divsChild>
                <w:div w:id="679894451">
                  <w:marLeft w:val="0"/>
                  <w:marRight w:val="0"/>
                  <w:marTop w:val="0"/>
                  <w:marBottom w:val="0"/>
                  <w:divBdr>
                    <w:top w:val="none" w:sz="0" w:space="0" w:color="auto"/>
                    <w:left w:val="none" w:sz="0" w:space="0" w:color="auto"/>
                    <w:bottom w:val="none" w:sz="0" w:space="0" w:color="auto"/>
                    <w:right w:val="none" w:sz="0" w:space="0" w:color="auto"/>
                  </w:divBdr>
                </w:div>
              </w:divsChild>
            </w:div>
            <w:div w:id="679894473">
              <w:marLeft w:val="0"/>
              <w:marRight w:val="0"/>
              <w:marTop w:val="0"/>
              <w:marBottom w:val="0"/>
              <w:divBdr>
                <w:top w:val="none" w:sz="0" w:space="0" w:color="auto"/>
                <w:left w:val="none" w:sz="0" w:space="0" w:color="auto"/>
                <w:bottom w:val="none" w:sz="0" w:space="0" w:color="auto"/>
                <w:right w:val="none" w:sz="0" w:space="0" w:color="auto"/>
              </w:divBdr>
              <w:divsChild>
                <w:div w:id="6798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94453">
      <w:marLeft w:val="0"/>
      <w:marRight w:val="0"/>
      <w:marTop w:val="0"/>
      <w:marBottom w:val="0"/>
      <w:divBdr>
        <w:top w:val="none" w:sz="0" w:space="0" w:color="auto"/>
        <w:left w:val="none" w:sz="0" w:space="0" w:color="auto"/>
        <w:bottom w:val="none" w:sz="0" w:space="0" w:color="auto"/>
        <w:right w:val="none" w:sz="0" w:space="0" w:color="auto"/>
      </w:divBdr>
    </w:div>
    <w:div w:id="679894465">
      <w:marLeft w:val="0"/>
      <w:marRight w:val="0"/>
      <w:marTop w:val="0"/>
      <w:marBottom w:val="0"/>
      <w:divBdr>
        <w:top w:val="none" w:sz="0" w:space="0" w:color="auto"/>
        <w:left w:val="none" w:sz="0" w:space="0" w:color="auto"/>
        <w:bottom w:val="none" w:sz="0" w:space="0" w:color="auto"/>
        <w:right w:val="none" w:sz="0" w:space="0" w:color="auto"/>
      </w:divBdr>
      <w:divsChild>
        <w:div w:id="679894456">
          <w:marLeft w:val="0"/>
          <w:marRight w:val="0"/>
          <w:marTop w:val="0"/>
          <w:marBottom w:val="0"/>
          <w:divBdr>
            <w:top w:val="none" w:sz="0" w:space="0" w:color="auto"/>
            <w:left w:val="none" w:sz="0" w:space="0" w:color="auto"/>
            <w:bottom w:val="none" w:sz="0" w:space="0" w:color="auto"/>
            <w:right w:val="none" w:sz="0" w:space="0" w:color="auto"/>
          </w:divBdr>
          <w:divsChild>
            <w:div w:id="679894466">
              <w:marLeft w:val="825"/>
              <w:marRight w:val="0"/>
              <w:marTop w:val="0"/>
              <w:marBottom w:val="0"/>
              <w:divBdr>
                <w:top w:val="none" w:sz="0" w:space="0" w:color="auto"/>
                <w:left w:val="none" w:sz="0" w:space="0" w:color="auto"/>
                <w:bottom w:val="none" w:sz="0" w:space="0" w:color="auto"/>
                <w:right w:val="none" w:sz="0" w:space="0" w:color="auto"/>
              </w:divBdr>
            </w:div>
          </w:divsChild>
        </w:div>
        <w:div w:id="679894458">
          <w:marLeft w:val="0"/>
          <w:marRight w:val="0"/>
          <w:marTop w:val="0"/>
          <w:marBottom w:val="0"/>
          <w:divBdr>
            <w:top w:val="none" w:sz="0" w:space="0" w:color="auto"/>
            <w:left w:val="none" w:sz="0" w:space="0" w:color="auto"/>
            <w:bottom w:val="none" w:sz="0" w:space="0" w:color="auto"/>
            <w:right w:val="none" w:sz="0" w:space="0" w:color="auto"/>
          </w:divBdr>
          <w:divsChild>
            <w:div w:id="679894452">
              <w:marLeft w:val="825"/>
              <w:marRight w:val="0"/>
              <w:marTop w:val="0"/>
              <w:marBottom w:val="0"/>
              <w:divBdr>
                <w:top w:val="none" w:sz="0" w:space="0" w:color="auto"/>
                <w:left w:val="none" w:sz="0" w:space="0" w:color="auto"/>
                <w:bottom w:val="none" w:sz="0" w:space="0" w:color="auto"/>
                <w:right w:val="none" w:sz="0" w:space="0" w:color="auto"/>
              </w:divBdr>
            </w:div>
          </w:divsChild>
        </w:div>
        <w:div w:id="679894463">
          <w:marLeft w:val="0"/>
          <w:marRight w:val="0"/>
          <w:marTop w:val="0"/>
          <w:marBottom w:val="0"/>
          <w:divBdr>
            <w:top w:val="none" w:sz="0" w:space="0" w:color="auto"/>
            <w:left w:val="none" w:sz="0" w:space="0" w:color="auto"/>
            <w:bottom w:val="none" w:sz="0" w:space="0" w:color="auto"/>
            <w:right w:val="none" w:sz="0" w:space="0" w:color="auto"/>
          </w:divBdr>
          <w:divsChild>
            <w:div w:id="679894460">
              <w:marLeft w:val="825"/>
              <w:marRight w:val="0"/>
              <w:marTop w:val="0"/>
              <w:marBottom w:val="0"/>
              <w:divBdr>
                <w:top w:val="none" w:sz="0" w:space="0" w:color="auto"/>
                <w:left w:val="none" w:sz="0" w:space="0" w:color="auto"/>
                <w:bottom w:val="none" w:sz="0" w:space="0" w:color="auto"/>
                <w:right w:val="none" w:sz="0" w:space="0" w:color="auto"/>
              </w:divBdr>
            </w:div>
          </w:divsChild>
        </w:div>
        <w:div w:id="679894464">
          <w:marLeft w:val="0"/>
          <w:marRight w:val="0"/>
          <w:marTop w:val="0"/>
          <w:marBottom w:val="0"/>
          <w:divBdr>
            <w:top w:val="none" w:sz="0" w:space="0" w:color="auto"/>
            <w:left w:val="none" w:sz="0" w:space="0" w:color="auto"/>
            <w:bottom w:val="none" w:sz="0" w:space="0" w:color="auto"/>
            <w:right w:val="none" w:sz="0" w:space="0" w:color="auto"/>
          </w:divBdr>
          <w:divsChild>
            <w:div w:id="679894454">
              <w:marLeft w:val="0"/>
              <w:marRight w:val="0"/>
              <w:marTop w:val="0"/>
              <w:marBottom w:val="0"/>
              <w:divBdr>
                <w:top w:val="none" w:sz="0" w:space="0" w:color="auto"/>
                <w:left w:val="none" w:sz="0" w:space="0" w:color="auto"/>
                <w:bottom w:val="none" w:sz="0" w:space="0" w:color="auto"/>
                <w:right w:val="none" w:sz="0" w:space="0" w:color="auto"/>
              </w:divBdr>
            </w:div>
          </w:divsChild>
        </w:div>
        <w:div w:id="679894468">
          <w:marLeft w:val="0"/>
          <w:marRight w:val="0"/>
          <w:marTop w:val="0"/>
          <w:marBottom w:val="0"/>
          <w:divBdr>
            <w:top w:val="none" w:sz="0" w:space="0" w:color="auto"/>
            <w:left w:val="none" w:sz="0" w:space="0" w:color="auto"/>
            <w:bottom w:val="none" w:sz="0" w:space="0" w:color="auto"/>
            <w:right w:val="none" w:sz="0" w:space="0" w:color="auto"/>
          </w:divBdr>
          <w:divsChild>
            <w:div w:id="679894457">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679894469">
      <w:marLeft w:val="0"/>
      <w:marRight w:val="0"/>
      <w:marTop w:val="0"/>
      <w:marBottom w:val="0"/>
      <w:divBdr>
        <w:top w:val="none" w:sz="0" w:space="0" w:color="auto"/>
        <w:left w:val="none" w:sz="0" w:space="0" w:color="auto"/>
        <w:bottom w:val="none" w:sz="0" w:space="0" w:color="auto"/>
        <w:right w:val="none" w:sz="0" w:space="0" w:color="auto"/>
      </w:divBdr>
      <w:divsChild>
        <w:div w:id="679894446">
          <w:marLeft w:val="0"/>
          <w:marRight w:val="0"/>
          <w:marTop w:val="0"/>
          <w:marBottom w:val="0"/>
          <w:divBdr>
            <w:top w:val="none" w:sz="0" w:space="0" w:color="auto"/>
            <w:left w:val="none" w:sz="0" w:space="0" w:color="auto"/>
            <w:bottom w:val="none" w:sz="0" w:space="0" w:color="auto"/>
            <w:right w:val="none" w:sz="0" w:space="0" w:color="auto"/>
          </w:divBdr>
        </w:div>
        <w:div w:id="679894450">
          <w:marLeft w:val="0"/>
          <w:marRight w:val="0"/>
          <w:marTop w:val="0"/>
          <w:marBottom w:val="0"/>
          <w:divBdr>
            <w:top w:val="none" w:sz="0" w:space="0" w:color="auto"/>
            <w:left w:val="none" w:sz="0" w:space="0" w:color="auto"/>
            <w:bottom w:val="none" w:sz="0" w:space="0" w:color="auto"/>
            <w:right w:val="none" w:sz="0" w:space="0" w:color="auto"/>
          </w:divBdr>
        </w:div>
        <w:div w:id="679894462">
          <w:marLeft w:val="0"/>
          <w:marRight w:val="0"/>
          <w:marTop w:val="0"/>
          <w:marBottom w:val="0"/>
          <w:divBdr>
            <w:top w:val="none" w:sz="0" w:space="0" w:color="auto"/>
            <w:left w:val="none" w:sz="0" w:space="0" w:color="auto"/>
            <w:bottom w:val="none" w:sz="0" w:space="0" w:color="auto"/>
            <w:right w:val="none" w:sz="0" w:space="0" w:color="auto"/>
          </w:divBdr>
        </w:div>
        <w:div w:id="679894467">
          <w:marLeft w:val="0"/>
          <w:marRight w:val="0"/>
          <w:marTop w:val="0"/>
          <w:marBottom w:val="0"/>
          <w:divBdr>
            <w:top w:val="none" w:sz="0" w:space="0" w:color="auto"/>
            <w:left w:val="none" w:sz="0" w:space="0" w:color="auto"/>
            <w:bottom w:val="none" w:sz="0" w:space="0" w:color="auto"/>
            <w:right w:val="none" w:sz="0" w:space="0" w:color="auto"/>
          </w:divBdr>
        </w:div>
        <w:div w:id="679894470">
          <w:marLeft w:val="0"/>
          <w:marRight w:val="0"/>
          <w:marTop w:val="0"/>
          <w:marBottom w:val="0"/>
          <w:divBdr>
            <w:top w:val="none" w:sz="0" w:space="0" w:color="auto"/>
            <w:left w:val="none" w:sz="0" w:space="0" w:color="auto"/>
            <w:bottom w:val="none" w:sz="0" w:space="0" w:color="auto"/>
            <w:right w:val="none" w:sz="0" w:space="0" w:color="auto"/>
          </w:divBdr>
        </w:div>
        <w:div w:id="679894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980</Words>
  <Characters>5590</Characters>
  <Application>Microsoft Office Outlook</Application>
  <DocSecurity>0</DocSecurity>
  <Lines>0</Lines>
  <Paragraphs>0</Paragraphs>
  <ScaleCrop>false</ScaleCrop>
  <Company>Serviciul Public Asistenta Sociala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BAIA MARE</dc:title>
  <dc:subject/>
  <dc:creator>SOCIAL</dc:creator>
  <cp:keywords/>
  <dc:description/>
  <cp:lastModifiedBy>Dana-G</cp:lastModifiedBy>
  <cp:revision>2</cp:revision>
  <cp:lastPrinted>2018-04-13T05:23:00Z</cp:lastPrinted>
  <dcterms:created xsi:type="dcterms:W3CDTF">2018-04-16T15:46:00Z</dcterms:created>
  <dcterms:modified xsi:type="dcterms:W3CDTF">2018-04-16T15:46:00Z</dcterms:modified>
</cp:coreProperties>
</file>